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Style w:val="7"/>
          <w:rFonts w:eastAsia="黑体"/>
          <w:b w:val="0"/>
        </w:rPr>
      </w:pPr>
      <w:r>
        <w:rPr>
          <w:rFonts w:eastAsia="黑体"/>
          <w:sz w:val="44"/>
          <w:szCs w:val="44"/>
        </w:rPr>
        <w:t>第</w:t>
      </w:r>
      <w:r>
        <w:rPr>
          <w:rStyle w:val="7"/>
          <w:rFonts w:eastAsia="黑体"/>
          <w:b w:val="0"/>
        </w:rPr>
        <w:t>四部分 附件</w:t>
      </w:r>
    </w:p>
    <w:p>
      <w:pPr>
        <w:spacing w:line="572" w:lineRule="exact"/>
        <w:jc w:val="left"/>
        <w:outlineLvl w:val="0"/>
        <w:rPr>
          <w:rFonts w:eastAsia="仿宋_GB2312"/>
          <w:sz w:val="32"/>
          <w:szCs w:val="32"/>
        </w:rPr>
      </w:pPr>
      <w:bookmarkStart w:id="1" w:name="_GoBack"/>
      <w:bookmarkStart w:id="0" w:name="_Toc143519743"/>
      <w:r>
        <w:rPr>
          <w:rFonts w:eastAsia="黑体"/>
          <w:sz w:val="32"/>
          <w:szCs w:val="32"/>
        </w:rPr>
        <w:t>附件</w:t>
      </w:r>
      <w:bookmarkEnd w:id="0"/>
    </w:p>
    <w:bookmarkEnd w:id="1"/>
    <w:p>
      <w:pPr>
        <w:spacing w:line="600" w:lineRule="exact"/>
        <w:jc w:val="center"/>
        <w:outlineLvl w:val="0"/>
        <w:rPr>
          <w:rFonts w:eastAsia="仿宋_GB2312"/>
          <w:color w:val="000000"/>
          <w:kern w:val="0"/>
          <w:sz w:val="32"/>
          <w:szCs w:val="32"/>
          <w:shd w:val="clear" w:color="auto" w:fill="FFFFFF"/>
        </w:rPr>
      </w:pPr>
    </w:p>
    <w:tbl>
      <w:tblPr>
        <w:tblStyle w:val="5"/>
        <w:tblW w:w="13980" w:type="dxa"/>
        <w:tblInd w:w="113" w:type="dxa"/>
        <w:tblLayout w:type="autofit"/>
        <w:tblCellMar>
          <w:top w:w="0" w:type="dxa"/>
          <w:left w:w="108" w:type="dxa"/>
          <w:bottom w:w="0" w:type="dxa"/>
          <w:right w:w="108" w:type="dxa"/>
        </w:tblCellMar>
      </w:tblPr>
      <w:tblGrid>
        <w:gridCol w:w="828"/>
        <w:gridCol w:w="1687"/>
        <w:gridCol w:w="1731"/>
        <w:gridCol w:w="2201"/>
        <w:gridCol w:w="533"/>
        <w:gridCol w:w="329"/>
        <w:gridCol w:w="1295"/>
        <w:gridCol w:w="756"/>
        <w:gridCol w:w="1088"/>
        <w:gridCol w:w="514"/>
        <w:gridCol w:w="531"/>
        <w:gridCol w:w="2487"/>
      </w:tblGrid>
      <w:tr>
        <w:tblPrEx>
          <w:tblCellMar>
            <w:top w:w="0" w:type="dxa"/>
            <w:left w:w="108" w:type="dxa"/>
            <w:bottom w:w="0" w:type="dxa"/>
            <w:right w:w="108" w:type="dxa"/>
          </w:tblCellMar>
        </w:tblPrEx>
        <w:trPr>
          <w:trHeight w:val="904" w:hRule="atLeast"/>
        </w:trPr>
        <w:tc>
          <w:tcPr>
            <w:tcW w:w="13980"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b/>
                <w:bCs/>
                <w:color w:val="000000"/>
                <w:kern w:val="0"/>
                <w:sz w:val="30"/>
                <w:szCs w:val="30"/>
              </w:rPr>
            </w:pPr>
            <w:r>
              <w:rPr>
                <w:rFonts w:hint="eastAsia" w:ascii="黑体" w:hAnsi="黑体" w:eastAsia="黑体"/>
                <w:b/>
                <w:bCs/>
                <w:color w:val="000000"/>
                <w:kern w:val="0"/>
                <w:sz w:val="30"/>
                <w:szCs w:val="30"/>
              </w:rPr>
              <w:t>部门预算项目支出绩效自评表（</w:t>
            </w:r>
            <w:r>
              <w:rPr>
                <w:b/>
                <w:bCs/>
                <w:color w:val="000000"/>
                <w:kern w:val="0"/>
                <w:sz w:val="30"/>
                <w:szCs w:val="30"/>
              </w:rPr>
              <w:t>2022</w:t>
            </w:r>
            <w:r>
              <w:rPr>
                <w:rFonts w:hint="eastAsia" w:ascii="黑体" w:hAnsi="黑体" w:eastAsia="黑体"/>
                <w:b/>
                <w:bCs/>
                <w:color w:val="000000"/>
                <w:kern w:val="0"/>
                <w:sz w:val="30"/>
                <w:szCs w:val="30"/>
              </w:rPr>
              <w:t>年度）</w:t>
            </w:r>
          </w:p>
        </w:tc>
      </w:tr>
      <w:tr>
        <w:tblPrEx>
          <w:tblCellMar>
            <w:top w:w="0" w:type="dxa"/>
            <w:left w:w="108" w:type="dxa"/>
            <w:bottom w:w="0" w:type="dxa"/>
            <w:right w:w="108" w:type="dxa"/>
          </w:tblCellMar>
        </w:tblPrEx>
        <w:trPr>
          <w:trHeight w:val="285"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项目名称</w:t>
            </w:r>
          </w:p>
        </w:tc>
        <w:tc>
          <w:tcPr>
            <w:tcW w:w="11461" w:type="dxa"/>
            <w:gridSpan w:val="10"/>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51000022T000000249292-</w:t>
            </w:r>
            <w:r>
              <w:rPr>
                <w:rFonts w:hint="eastAsia" w:ascii="宋体" w:hAnsi="宋体"/>
                <w:color w:val="000000"/>
                <w:kern w:val="0"/>
                <w:sz w:val="18"/>
                <w:szCs w:val="18"/>
              </w:rPr>
              <w:t>办公租赁用房项目</w:t>
            </w:r>
          </w:p>
        </w:tc>
      </w:tr>
      <w:tr>
        <w:tblPrEx>
          <w:tblCellMar>
            <w:top w:w="0" w:type="dxa"/>
            <w:left w:w="108" w:type="dxa"/>
            <w:bottom w:w="0" w:type="dxa"/>
            <w:right w:w="108" w:type="dxa"/>
          </w:tblCellMar>
        </w:tblPrEx>
        <w:trPr>
          <w:trHeight w:val="514"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主管部门</w:t>
            </w: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四川省住房和城乡建设厅部门</w:t>
            </w:r>
          </w:p>
        </w:tc>
        <w:tc>
          <w:tcPr>
            <w:tcW w:w="1089" w:type="dxa"/>
            <w:tcBorders>
              <w:top w:val="nil"/>
              <w:left w:val="nil"/>
              <w:bottom w:val="nil"/>
              <w:right w:val="nil"/>
            </w:tcBorders>
            <w:shd w:val="clear" w:color="auto" w:fill="auto"/>
            <w:noWrap w:val="0"/>
            <w:vAlign w:val="center"/>
          </w:tcPr>
          <w:p>
            <w:pPr>
              <w:widowControl/>
              <w:jc w:val="left"/>
              <w:rPr>
                <w:color w:val="000000"/>
                <w:kern w:val="0"/>
                <w:sz w:val="18"/>
                <w:szCs w:val="18"/>
              </w:rPr>
            </w:pPr>
            <w:r>
              <w:rPr>
                <w:rFonts w:hint="eastAsia" w:ascii="黑体" w:hAnsi="黑体" w:eastAsia="黑体"/>
                <w:color w:val="000000"/>
                <w:kern w:val="0"/>
                <w:sz w:val="18"/>
                <w:szCs w:val="18"/>
              </w:rPr>
              <w:t>实施单位</w:t>
            </w:r>
            <w:r>
              <w:rPr>
                <w:color w:val="000000"/>
                <w:kern w:val="0"/>
                <w:sz w:val="18"/>
                <w:szCs w:val="18"/>
              </w:rPr>
              <w:t xml:space="preserve"> </w:t>
            </w:r>
            <w:r>
              <w:rPr>
                <w:rFonts w:hint="eastAsia" w:ascii="黑体" w:hAnsi="黑体" w:eastAsia="黑体"/>
                <w:color w:val="000000"/>
                <w:kern w:val="0"/>
                <w:sz w:val="18"/>
                <w:szCs w:val="18"/>
              </w:rPr>
              <w:t>（盖章）</w:t>
            </w:r>
          </w:p>
        </w:tc>
        <w:tc>
          <w:tcPr>
            <w:tcW w:w="353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四川省城乡建设研究院</w:t>
            </w:r>
          </w:p>
        </w:tc>
      </w:tr>
      <w:tr>
        <w:tblPrEx>
          <w:tblCellMar>
            <w:top w:w="0" w:type="dxa"/>
            <w:left w:w="108" w:type="dxa"/>
            <w:bottom w:w="0" w:type="dxa"/>
            <w:right w:w="108" w:type="dxa"/>
          </w:tblCellMar>
        </w:tblPrEx>
        <w:trPr>
          <w:trHeight w:val="285"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项目基本情况</w:t>
            </w:r>
          </w:p>
        </w:tc>
        <w:tc>
          <w:tcPr>
            <w:tcW w:w="169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1.</w:t>
            </w:r>
            <w:r>
              <w:rPr>
                <w:rFonts w:hint="eastAsia" w:ascii="宋体" w:hAnsi="宋体"/>
                <w:color w:val="000000"/>
                <w:kern w:val="0"/>
                <w:sz w:val="18"/>
                <w:szCs w:val="18"/>
              </w:rPr>
              <w:t>项目年度目标完成情况</w:t>
            </w: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项目年度目标</w:t>
            </w:r>
          </w:p>
        </w:tc>
        <w:tc>
          <w:tcPr>
            <w:tcW w:w="4625"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黑体" w:hAnsi="黑体" w:eastAsia="黑体"/>
                <w:color w:val="000000"/>
                <w:kern w:val="0"/>
                <w:sz w:val="18"/>
                <w:szCs w:val="18"/>
              </w:rPr>
              <w:t>年度目标完成情况</w:t>
            </w:r>
          </w:p>
        </w:tc>
      </w:tr>
      <w:tr>
        <w:tblPrEx>
          <w:tblCellMar>
            <w:top w:w="0" w:type="dxa"/>
            <w:left w:w="108" w:type="dxa"/>
            <w:bottom w:w="0" w:type="dxa"/>
            <w:right w:w="108" w:type="dxa"/>
          </w:tblCellMar>
        </w:tblPrEx>
        <w:trPr>
          <w:trHeight w:val="1635"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在合同约定时间内，完成业务租赁用房的租金支付。</w:t>
            </w:r>
          </w:p>
        </w:tc>
        <w:tc>
          <w:tcPr>
            <w:tcW w:w="4625"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hint="eastAsia" w:eastAsia="宋体"/>
                <w:color w:val="000000"/>
                <w:kern w:val="0"/>
                <w:sz w:val="18"/>
                <w:szCs w:val="18"/>
                <w:lang w:eastAsia="zh-CN"/>
              </w:rPr>
            </w:pPr>
            <w:r>
              <w:rPr>
                <w:color w:val="000000"/>
                <w:kern w:val="0"/>
                <w:sz w:val="18"/>
                <w:szCs w:val="18"/>
              </w:rPr>
              <w:t>2019</w:t>
            </w:r>
            <w:r>
              <w:rPr>
                <w:rFonts w:hint="eastAsia" w:ascii="宋体" w:hAnsi="宋体"/>
                <w:color w:val="000000"/>
                <w:kern w:val="0"/>
                <w:sz w:val="18"/>
                <w:szCs w:val="18"/>
              </w:rPr>
              <w:t>年末，我院完成业务租赁用房的采购流程，并于</w:t>
            </w:r>
            <w:r>
              <w:rPr>
                <w:color w:val="000000"/>
                <w:kern w:val="0"/>
                <w:sz w:val="18"/>
                <w:szCs w:val="18"/>
              </w:rPr>
              <w:t>2020</w:t>
            </w:r>
          </w:p>
          <w:p>
            <w:pPr>
              <w:widowControl/>
              <w:jc w:val="left"/>
              <w:rPr>
                <w:color w:val="000000"/>
                <w:kern w:val="0"/>
                <w:sz w:val="18"/>
                <w:szCs w:val="18"/>
              </w:rPr>
            </w:pPr>
            <w:r>
              <w:rPr>
                <w:rFonts w:hint="eastAsia" w:ascii="宋体" w:hAnsi="宋体"/>
                <w:color w:val="000000"/>
                <w:kern w:val="0"/>
                <w:sz w:val="18"/>
                <w:szCs w:val="18"/>
              </w:rPr>
              <w:t>年签订租赁合同。租期</w:t>
            </w:r>
            <w:r>
              <w:rPr>
                <w:color w:val="000000"/>
                <w:kern w:val="0"/>
                <w:sz w:val="18"/>
                <w:szCs w:val="18"/>
              </w:rPr>
              <w:t>10</w:t>
            </w:r>
            <w:r>
              <w:rPr>
                <w:rFonts w:hint="eastAsia" w:ascii="宋体" w:hAnsi="宋体"/>
                <w:color w:val="000000"/>
                <w:kern w:val="0"/>
                <w:sz w:val="18"/>
                <w:szCs w:val="18"/>
              </w:rPr>
              <w:t>年，每年按合同约定金额和期限支付租赁款项。</w:t>
            </w:r>
            <w:r>
              <w:rPr>
                <w:color w:val="000000"/>
                <w:kern w:val="0"/>
                <w:sz w:val="18"/>
                <w:szCs w:val="18"/>
              </w:rPr>
              <w:t>2022</w:t>
            </w:r>
            <w:r>
              <w:rPr>
                <w:rFonts w:hint="eastAsia" w:ascii="宋体" w:hAnsi="宋体"/>
                <w:color w:val="000000"/>
                <w:kern w:val="0"/>
                <w:sz w:val="18"/>
                <w:szCs w:val="18"/>
              </w:rPr>
              <w:t>年度，根据租赁合同约定，已于</w:t>
            </w:r>
            <w:r>
              <w:rPr>
                <w:color w:val="000000"/>
                <w:kern w:val="0"/>
                <w:sz w:val="18"/>
                <w:szCs w:val="18"/>
              </w:rPr>
              <w:t>2022</w:t>
            </w:r>
            <w:r>
              <w:rPr>
                <w:rFonts w:hint="eastAsia" w:ascii="宋体" w:hAnsi="宋体"/>
                <w:color w:val="000000"/>
                <w:kern w:val="0"/>
                <w:sz w:val="18"/>
                <w:szCs w:val="18"/>
              </w:rPr>
              <w:t>年</w:t>
            </w:r>
            <w:r>
              <w:rPr>
                <w:color w:val="000000"/>
                <w:kern w:val="0"/>
                <w:sz w:val="18"/>
                <w:szCs w:val="18"/>
              </w:rPr>
              <w:t>8</w:t>
            </w:r>
            <w:r>
              <w:rPr>
                <w:rFonts w:hint="eastAsia" w:ascii="宋体" w:hAnsi="宋体"/>
                <w:color w:val="000000"/>
                <w:kern w:val="0"/>
                <w:sz w:val="18"/>
                <w:szCs w:val="18"/>
              </w:rPr>
              <w:t>月</w:t>
            </w:r>
            <w:r>
              <w:rPr>
                <w:color w:val="000000"/>
                <w:kern w:val="0"/>
                <w:sz w:val="18"/>
                <w:szCs w:val="18"/>
              </w:rPr>
              <w:t>17</w:t>
            </w:r>
            <w:r>
              <w:rPr>
                <w:rFonts w:hint="eastAsia" w:ascii="宋体" w:hAnsi="宋体"/>
                <w:color w:val="000000"/>
                <w:kern w:val="0"/>
                <w:sz w:val="18"/>
                <w:szCs w:val="18"/>
              </w:rPr>
              <w:t>日支付完毕当年度租金</w:t>
            </w:r>
            <w:r>
              <w:rPr>
                <w:color w:val="000000"/>
                <w:kern w:val="0"/>
                <w:sz w:val="18"/>
                <w:szCs w:val="18"/>
              </w:rPr>
              <w:t>256</w:t>
            </w:r>
            <w:r>
              <w:rPr>
                <w:rFonts w:hint="eastAsia" w:ascii="宋体" w:hAnsi="宋体"/>
                <w:color w:val="000000"/>
                <w:kern w:val="0"/>
                <w:sz w:val="18"/>
                <w:szCs w:val="18"/>
              </w:rPr>
              <w:t>万元，并取得相应增值税发票。</w:t>
            </w:r>
          </w:p>
        </w:tc>
      </w:tr>
      <w:tr>
        <w:tblPrEx>
          <w:tblCellMar>
            <w:top w:w="0" w:type="dxa"/>
            <w:left w:w="108" w:type="dxa"/>
            <w:bottom w:w="0" w:type="dxa"/>
            <w:right w:w="108" w:type="dxa"/>
          </w:tblCellMar>
        </w:tblPrEx>
        <w:trPr>
          <w:trHeight w:val="1035"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2.</w:t>
            </w:r>
            <w:r>
              <w:rPr>
                <w:rFonts w:hint="eastAsia" w:ascii="宋体" w:hAnsi="宋体"/>
                <w:color w:val="000000"/>
                <w:kern w:val="0"/>
                <w:sz w:val="18"/>
                <w:szCs w:val="18"/>
              </w:rPr>
              <w:t>项目实施内容及过程概述</w:t>
            </w:r>
          </w:p>
        </w:tc>
        <w:tc>
          <w:tcPr>
            <w:tcW w:w="11461" w:type="dxa"/>
            <w:gridSpan w:val="10"/>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olor w:val="000000"/>
                <w:kern w:val="0"/>
                <w:sz w:val="18"/>
                <w:szCs w:val="18"/>
                <w:lang w:eastAsia="zh-CN"/>
              </w:rPr>
            </w:pPr>
            <w:r>
              <w:rPr>
                <w:color w:val="000000"/>
                <w:kern w:val="0"/>
                <w:sz w:val="18"/>
                <w:szCs w:val="18"/>
              </w:rPr>
              <w:t>2019</w:t>
            </w:r>
            <w:r>
              <w:rPr>
                <w:rFonts w:hint="eastAsia" w:ascii="宋体" w:hAnsi="宋体"/>
                <w:color w:val="000000"/>
                <w:kern w:val="0"/>
                <w:sz w:val="18"/>
                <w:szCs w:val="18"/>
              </w:rPr>
              <w:t>年末，我院完成租赁业务用房的政府采购公开招标流程，并于</w:t>
            </w:r>
            <w:r>
              <w:rPr>
                <w:color w:val="000000"/>
                <w:kern w:val="0"/>
                <w:sz w:val="18"/>
                <w:szCs w:val="18"/>
              </w:rPr>
              <w:t>2020</w:t>
            </w:r>
            <w:r>
              <w:rPr>
                <w:rFonts w:hint="eastAsia" w:ascii="宋体" w:hAnsi="宋体"/>
                <w:color w:val="000000"/>
                <w:kern w:val="0"/>
                <w:sz w:val="18"/>
                <w:szCs w:val="18"/>
              </w:rPr>
              <w:t>年签订业务用房租赁合同。合同约定，业务租赁用房面积</w:t>
            </w:r>
            <w:r>
              <w:rPr>
                <w:color w:val="000000"/>
                <w:kern w:val="0"/>
                <w:sz w:val="18"/>
                <w:szCs w:val="18"/>
              </w:rPr>
              <w:t xml:space="preserve"> 3121.71 </w:t>
            </w:r>
            <w:r>
              <w:rPr>
                <w:rFonts w:hint="eastAsia" w:ascii="宋体" w:hAnsi="宋体"/>
                <w:color w:val="000000"/>
                <w:kern w:val="0"/>
                <w:sz w:val="18"/>
                <w:szCs w:val="18"/>
              </w:rPr>
              <w:t>平方米，租期</w:t>
            </w:r>
            <w:r>
              <w:rPr>
                <w:color w:val="000000"/>
                <w:kern w:val="0"/>
                <w:sz w:val="18"/>
                <w:szCs w:val="18"/>
              </w:rPr>
              <w:t xml:space="preserve"> 10 </w:t>
            </w:r>
            <w:r>
              <w:rPr>
                <w:rFonts w:hint="eastAsia" w:ascii="宋体" w:hAnsi="宋体"/>
                <w:color w:val="000000"/>
                <w:kern w:val="0"/>
                <w:sz w:val="18"/>
                <w:szCs w:val="18"/>
              </w:rPr>
              <w:t>年，租金共计</w:t>
            </w:r>
            <w:r>
              <w:rPr>
                <w:color w:val="000000"/>
                <w:kern w:val="0"/>
                <w:sz w:val="18"/>
                <w:szCs w:val="18"/>
              </w:rPr>
              <w:t xml:space="preserve"> 3300.00 </w:t>
            </w:r>
            <w:r>
              <w:rPr>
                <w:rFonts w:hint="eastAsia" w:ascii="宋体" w:hAnsi="宋体"/>
                <w:color w:val="000000"/>
                <w:kern w:val="0"/>
                <w:sz w:val="18"/>
                <w:szCs w:val="18"/>
              </w:rPr>
              <w:t>万元，业务用房权属方为成都兴城投资集团有限公司。每年按约定金额和期限支付租赁款项。</w:t>
            </w:r>
            <w:r>
              <w:rPr>
                <w:color w:val="000000"/>
                <w:kern w:val="0"/>
                <w:sz w:val="18"/>
                <w:szCs w:val="18"/>
              </w:rPr>
              <w:t xml:space="preserve">2020 </w:t>
            </w:r>
            <w:r>
              <w:rPr>
                <w:rFonts w:hint="eastAsia" w:ascii="宋体" w:hAnsi="宋体"/>
                <w:color w:val="000000"/>
                <w:kern w:val="0"/>
                <w:sz w:val="18"/>
                <w:szCs w:val="18"/>
              </w:rPr>
              <w:t>年</w:t>
            </w:r>
            <w:r>
              <w:rPr>
                <w:color w:val="000000"/>
                <w:kern w:val="0"/>
                <w:sz w:val="18"/>
                <w:szCs w:val="18"/>
              </w:rPr>
              <w:t xml:space="preserve"> 11 </w:t>
            </w:r>
            <w:r>
              <w:rPr>
                <w:rFonts w:hint="eastAsia" w:ascii="宋体" w:hAnsi="宋体"/>
                <w:color w:val="000000"/>
                <w:kern w:val="0"/>
                <w:sz w:val="18"/>
                <w:szCs w:val="18"/>
              </w:rPr>
              <w:t>月，租赁业务用房达到工作所需条件，于当月搬入，同时顺利完成院揭牌仪式。</w:t>
            </w:r>
          </w:p>
          <w:p>
            <w:pPr>
              <w:widowControl/>
              <w:jc w:val="left"/>
              <w:rPr>
                <w:color w:val="000000"/>
                <w:kern w:val="0"/>
                <w:sz w:val="18"/>
                <w:szCs w:val="18"/>
              </w:rPr>
            </w:pPr>
            <w:r>
              <w:rPr>
                <w:rFonts w:hint="eastAsia" w:ascii="宋体" w:hAnsi="宋体"/>
                <w:color w:val="000000"/>
                <w:kern w:val="0"/>
                <w:sz w:val="18"/>
                <w:szCs w:val="18"/>
              </w:rPr>
              <w:t>根据租赁合同约定，已于</w:t>
            </w:r>
            <w:r>
              <w:rPr>
                <w:color w:val="000000"/>
                <w:kern w:val="0"/>
                <w:sz w:val="18"/>
                <w:szCs w:val="18"/>
              </w:rPr>
              <w:t>2022</w:t>
            </w:r>
            <w:r>
              <w:rPr>
                <w:rFonts w:hint="eastAsia" w:ascii="宋体" w:hAnsi="宋体"/>
                <w:color w:val="000000"/>
                <w:kern w:val="0"/>
                <w:sz w:val="18"/>
                <w:szCs w:val="18"/>
              </w:rPr>
              <w:t>年</w:t>
            </w:r>
            <w:r>
              <w:rPr>
                <w:color w:val="000000"/>
                <w:kern w:val="0"/>
                <w:sz w:val="18"/>
                <w:szCs w:val="18"/>
              </w:rPr>
              <w:t>8</w:t>
            </w:r>
            <w:r>
              <w:rPr>
                <w:rFonts w:hint="eastAsia" w:ascii="宋体" w:hAnsi="宋体"/>
                <w:color w:val="000000"/>
                <w:kern w:val="0"/>
                <w:sz w:val="18"/>
                <w:szCs w:val="18"/>
              </w:rPr>
              <w:t>月</w:t>
            </w:r>
            <w:r>
              <w:rPr>
                <w:color w:val="000000"/>
                <w:kern w:val="0"/>
                <w:sz w:val="18"/>
                <w:szCs w:val="18"/>
              </w:rPr>
              <w:t>17</w:t>
            </w:r>
            <w:r>
              <w:rPr>
                <w:rFonts w:hint="eastAsia" w:ascii="宋体" w:hAnsi="宋体"/>
                <w:color w:val="000000"/>
                <w:kern w:val="0"/>
                <w:sz w:val="18"/>
                <w:szCs w:val="18"/>
              </w:rPr>
              <w:t>日支付完毕当年度租金</w:t>
            </w:r>
            <w:r>
              <w:rPr>
                <w:color w:val="000000"/>
                <w:kern w:val="0"/>
                <w:sz w:val="18"/>
                <w:szCs w:val="18"/>
              </w:rPr>
              <w:t>256</w:t>
            </w:r>
            <w:r>
              <w:rPr>
                <w:rFonts w:hint="eastAsia" w:ascii="宋体" w:hAnsi="宋体"/>
                <w:color w:val="000000"/>
                <w:kern w:val="0"/>
                <w:sz w:val="18"/>
                <w:szCs w:val="18"/>
              </w:rPr>
              <w:t>万元，并取得相应增值税发票。</w:t>
            </w:r>
          </w:p>
        </w:tc>
      </w:tr>
      <w:tr>
        <w:tblPrEx>
          <w:tblCellMar>
            <w:top w:w="0" w:type="dxa"/>
            <w:left w:w="108" w:type="dxa"/>
            <w:bottom w:w="0" w:type="dxa"/>
            <w:right w:w="108" w:type="dxa"/>
          </w:tblCellMar>
        </w:tblPrEx>
        <w:trPr>
          <w:trHeight w:val="360"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预算执行情况（</w:t>
            </w:r>
            <w:r>
              <w:rPr>
                <w:color w:val="000000"/>
                <w:kern w:val="0"/>
                <w:sz w:val="18"/>
                <w:szCs w:val="18"/>
              </w:rPr>
              <w:t>10</w:t>
            </w:r>
            <w:r>
              <w:rPr>
                <w:rFonts w:hint="eastAsia" w:ascii="宋体" w:hAnsi="宋体"/>
                <w:color w:val="000000"/>
                <w:kern w:val="0"/>
                <w:sz w:val="18"/>
                <w:szCs w:val="18"/>
              </w:rPr>
              <w:t>分）</w:t>
            </w: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年度预算数（万元）</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年初预算</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调整后预算数</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预算执行数</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预算执行率</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权重</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得分</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总额</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256.00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256.00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256.00</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100.00%</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10</w:t>
            </w:r>
          </w:p>
        </w:tc>
        <w:tc>
          <w:tcPr>
            <w:tcW w:w="2491"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预算执行率</w:t>
            </w:r>
            <w:r>
              <w:rPr>
                <w:color w:val="000000"/>
                <w:kern w:val="0"/>
                <w:sz w:val="18"/>
                <w:szCs w:val="18"/>
              </w:rPr>
              <w:t>100%</w:t>
            </w:r>
            <w:r>
              <w:rPr>
                <w:rFonts w:hint="eastAsia" w:ascii="宋体" w:hAnsi="宋体"/>
                <w:color w:val="000000"/>
                <w:kern w:val="0"/>
                <w:sz w:val="18"/>
                <w:szCs w:val="18"/>
              </w:rPr>
              <w:t>。未发生年中预算调整事宜。</w:t>
            </w:r>
          </w:p>
        </w:tc>
      </w:tr>
      <w:tr>
        <w:tblPrEx>
          <w:tblCellMar>
            <w:top w:w="0" w:type="dxa"/>
            <w:left w:w="108" w:type="dxa"/>
            <w:bottom w:w="0" w:type="dxa"/>
            <w:right w:w="108" w:type="dxa"/>
          </w:tblCellMar>
        </w:tblPrEx>
        <w:trPr>
          <w:trHeight w:val="432"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其中：财政资金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256.00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256.00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256.00</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100.00%</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47"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财政专户管理资金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02"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单位资金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379"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其他资金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54"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绩效指标（</w:t>
            </w:r>
            <w:r>
              <w:rPr>
                <w:color w:val="000000"/>
                <w:kern w:val="0"/>
                <w:sz w:val="18"/>
                <w:szCs w:val="18"/>
              </w:rPr>
              <w:t>90</w:t>
            </w:r>
            <w:r>
              <w:rPr>
                <w:rFonts w:hint="eastAsia" w:ascii="宋体" w:hAnsi="宋体"/>
                <w:color w:val="000000"/>
                <w:kern w:val="0"/>
                <w:sz w:val="18"/>
                <w:szCs w:val="18"/>
              </w:rPr>
              <w:t>分）</w:t>
            </w: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一级指标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二级指标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三级指标</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指标性质</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指标值</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度量单位</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完成值</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权重</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得分</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产出指标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时效指标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按合同约定按期支付</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12</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月</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6"/>
                <w:szCs w:val="16"/>
              </w:rPr>
            </w:pPr>
            <w:r>
              <w:rPr>
                <w:color w:val="000000"/>
                <w:kern w:val="0"/>
                <w:sz w:val="16"/>
                <w:szCs w:val="16"/>
              </w:rPr>
              <w:t>8</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20</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成本指标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租金支付总额</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256</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万元</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6"/>
                <w:szCs w:val="16"/>
              </w:rPr>
            </w:pPr>
            <w:r>
              <w:rPr>
                <w:color w:val="000000"/>
                <w:kern w:val="0"/>
                <w:sz w:val="16"/>
                <w:szCs w:val="16"/>
              </w:rPr>
              <w:t>256</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50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50</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454"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满意度指标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服务对象满意度指标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全院职工对稳定办公场所的需求</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定性</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优良中低差</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套</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良</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rFonts w:hint="eastAsia"/>
                <w:color w:val="000000"/>
                <w:kern w:val="0"/>
                <w:sz w:val="18"/>
                <w:szCs w:val="18"/>
              </w:rPr>
            </w:pPr>
            <w:r>
              <w:rPr>
                <w:color w:val="000000"/>
                <w:kern w:val="0"/>
                <w:sz w:val="18"/>
                <w:szCs w:val="18"/>
              </w:rPr>
              <w:t>20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17</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285" w:hRule="atLeast"/>
        </w:trPr>
        <w:tc>
          <w:tcPr>
            <w:tcW w:w="10444"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合计</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　</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right"/>
              <w:rPr>
                <w:color w:val="000000"/>
                <w:kern w:val="0"/>
                <w:sz w:val="18"/>
                <w:szCs w:val="18"/>
              </w:rPr>
            </w:pPr>
            <w:r>
              <w:rPr>
                <w:color w:val="000000"/>
                <w:kern w:val="0"/>
                <w:sz w:val="18"/>
                <w:szCs w:val="18"/>
              </w:rPr>
              <w:t>97</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　</w:t>
            </w:r>
          </w:p>
        </w:tc>
      </w:tr>
      <w:tr>
        <w:tblPrEx>
          <w:tblCellMar>
            <w:top w:w="0" w:type="dxa"/>
            <w:left w:w="108" w:type="dxa"/>
            <w:bottom w:w="0" w:type="dxa"/>
            <w:right w:w="108" w:type="dxa"/>
          </w:tblCellMar>
        </w:tblPrEx>
        <w:trPr>
          <w:trHeight w:val="604"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评价结论</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6"/>
                <w:szCs w:val="16"/>
              </w:rPr>
            </w:pPr>
            <w:r>
              <w:rPr>
                <w:rFonts w:hint="eastAsia" w:ascii="宋体" w:hAnsi="宋体"/>
                <w:color w:val="000000"/>
                <w:kern w:val="0"/>
                <w:sz w:val="16"/>
                <w:szCs w:val="16"/>
              </w:rPr>
              <w:t>项目自评总分</w:t>
            </w:r>
            <w:r>
              <w:rPr>
                <w:color w:val="000000"/>
                <w:kern w:val="0"/>
                <w:sz w:val="16"/>
                <w:szCs w:val="16"/>
              </w:rPr>
              <w:t>97</w:t>
            </w:r>
            <w:r>
              <w:rPr>
                <w:rFonts w:hint="eastAsia" w:ascii="宋体" w:hAnsi="宋体"/>
                <w:color w:val="000000"/>
                <w:kern w:val="0"/>
                <w:sz w:val="16"/>
                <w:szCs w:val="16"/>
              </w:rPr>
              <w:t>分，为工作人员提供安全、稳定的工作场所，作为四川省城乡建设的智库，助力城乡建设发展，提供专业的政策研究和技术服务。</w:t>
            </w:r>
          </w:p>
        </w:tc>
      </w:tr>
      <w:tr>
        <w:tblPrEx>
          <w:tblCellMar>
            <w:top w:w="0" w:type="dxa"/>
            <w:left w:w="108" w:type="dxa"/>
            <w:bottom w:w="0" w:type="dxa"/>
            <w:right w:w="108" w:type="dxa"/>
          </w:tblCellMar>
        </w:tblPrEx>
        <w:trPr>
          <w:trHeight w:val="574"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存在问题</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6"/>
                <w:szCs w:val="16"/>
              </w:rPr>
            </w:pPr>
            <w:r>
              <w:rPr>
                <w:rFonts w:hint="eastAsia" w:ascii="宋体" w:hAnsi="宋体"/>
                <w:color w:val="000000"/>
                <w:kern w:val="0"/>
                <w:sz w:val="16"/>
                <w:szCs w:val="16"/>
              </w:rPr>
              <w:t>通过上述自评，该项目预算管理水平和财政资金使用效益较高，目前未发现该项目存在问题。</w:t>
            </w:r>
          </w:p>
        </w:tc>
      </w:tr>
      <w:tr>
        <w:tblPrEx>
          <w:tblCellMar>
            <w:top w:w="0" w:type="dxa"/>
            <w:left w:w="108" w:type="dxa"/>
            <w:bottom w:w="0" w:type="dxa"/>
            <w:right w:w="108" w:type="dxa"/>
          </w:tblCellMar>
        </w:tblPrEx>
        <w:trPr>
          <w:trHeight w:val="634"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改进措施</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做好项目预算资金使用管理，提供资金使用效益，保证本项目预算目标高质量实现。</w:t>
            </w:r>
          </w:p>
        </w:tc>
      </w:tr>
      <w:tr>
        <w:tblPrEx>
          <w:tblCellMar>
            <w:top w:w="0" w:type="dxa"/>
            <w:left w:w="108" w:type="dxa"/>
            <w:bottom w:w="0" w:type="dxa"/>
            <w:right w:w="108" w:type="dxa"/>
          </w:tblCellMar>
        </w:tblPrEx>
        <w:trPr>
          <w:trHeight w:val="285" w:hRule="atLeast"/>
        </w:trPr>
        <w:tc>
          <w:tcPr>
            <w:tcW w:w="7320"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黑体" w:hAnsi="黑体" w:eastAsia="黑体"/>
                <w:color w:val="000000"/>
                <w:kern w:val="0"/>
                <w:sz w:val="18"/>
                <w:szCs w:val="18"/>
              </w:rPr>
            </w:pPr>
            <w:r>
              <w:rPr>
                <w:rFonts w:hint="eastAsia" w:ascii="黑体" w:hAnsi="黑体" w:eastAsia="黑体"/>
                <w:color w:val="000000"/>
                <w:sz w:val="18"/>
                <w:szCs w:val="18"/>
              </w:rPr>
              <w:t>项目负责人：骆杰</w:t>
            </w:r>
          </w:p>
        </w:tc>
        <w:tc>
          <w:tcPr>
            <w:tcW w:w="6660" w:type="dxa"/>
            <w:gridSpan w:val="6"/>
            <w:tcBorders>
              <w:top w:val="single" w:color="000000" w:sz="4" w:space="0"/>
              <w:left w:val="nil"/>
              <w:bottom w:val="single" w:color="000000" w:sz="4" w:space="0"/>
              <w:right w:val="single" w:color="000000" w:sz="4" w:space="0"/>
            </w:tcBorders>
            <w:shd w:val="clear" w:color="auto" w:fill="auto"/>
            <w:noWrap w:val="0"/>
            <w:vAlign w:val="center"/>
          </w:tcPr>
          <w:p>
            <w:pPr>
              <w:rPr>
                <w:rFonts w:hint="eastAsia" w:ascii="黑体" w:hAnsi="黑体" w:eastAsia="黑体"/>
                <w:color w:val="000000"/>
                <w:sz w:val="18"/>
                <w:szCs w:val="18"/>
              </w:rPr>
            </w:pPr>
            <w:r>
              <w:rPr>
                <w:rFonts w:hint="eastAsia" w:ascii="黑体" w:hAnsi="黑体" w:eastAsia="黑体"/>
                <w:color w:val="000000"/>
                <w:sz w:val="18"/>
                <w:szCs w:val="18"/>
              </w:rPr>
              <w:t>财务负责人：杨猛</w:t>
            </w:r>
          </w:p>
        </w:tc>
      </w:tr>
      <w:tr>
        <w:tblPrEx>
          <w:tblCellMar>
            <w:top w:w="0" w:type="dxa"/>
            <w:left w:w="108" w:type="dxa"/>
            <w:bottom w:w="0" w:type="dxa"/>
            <w:right w:w="108" w:type="dxa"/>
          </w:tblCellMar>
        </w:tblPrEx>
        <w:trPr>
          <w:trHeight w:val="285" w:hRule="atLeast"/>
        </w:trPr>
        <w:tc>
          <w:tcPr>
            <w:tcW w:w="829" w:type="dxa"/>
            <w:tcBorders>
              <w:top w:val="nil"/>
              <w:left w:val="nil"/>
              <w:bottom w:val="nil"/>
              <w:right w:val="nil"/>
            </w:tcBorders>
            <w:shd w:val="clear" w:color="auto" w:fill="auto"/>
            <w:noWrap w:val="0"/>
            <w:vAlign w:val="center"/>
          </w:tcPr>
          <w:p>
            <w:pPr>
              <w:widowControl/>
              <w:jc w:val="left"/>
              <w:rPr>
                <w:color w:val="000000"/>
                <w:kern w:val="0"/>
                <w:sz w:val="18"/>
                <w:szCs w:val="18"/>
              </w:rPr>
            </w:pPr>
          </w:p>
        </w:tc>
        <w:tc>
          <w:tcPr>
            <w:tcW w:w="1690"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73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220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1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628" w:type="dxa"/>
            <w:gridSpan w:val="2"/>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756"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089"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1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31"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2491"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04" w:hRule="atLeast"/>
        </w:trPr>
        <w:tc>
          <w:tcPr>
            <w:tcW w:w="13980"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b/>
                <w:bCs/>
                <w:color w:val="000000"/>
                <w:kern w:val="0"/>
                <w:sz w:val="30"/>
                <w:szCs w:val="30"/>
              </w:rPr>
            </w:pPr>
            <w:r>
              <w:rPr>
                <w:rFonts w:hint="eastAsia" w:ascii="黑体" w:hAnsi="黑体" w:eastAsia="黑体"/>
                <w:b/>
                <w:bCs/>
                <w:color w:val="000000"/>
                <w:kern w:val="0"/>
                <w:sz w:val="30"/>
                <w:szCs w:val="30"/>
              </w:rPr>
              <w:t>部门预算项目支出绩效自评表（</w:t>
            </w:r>
            <w:r>
              <w:rPr>
                <w:b/>
                <w:bCs/>
                <w:color w:val="000000"/>
                <w:kern w:val="0"/>
                <w:sz w:val="30"/>
                <w:szCs w:val="30"/>
              </w:rPr>
              <w:t>2022</w:t>
            </w:r>
            <w:r>
              <w:rPr>
                <w:rFonts w:hint="eastAsia" w:ascii="黑体" w:hAnsi="黑体" w:eastAsia="黑体"/>
                <w:b/>
                <w:bCs/>
                <w:color w:val="000000"/>
                <w:kern w:val="0"/>
                <w:sz w:val="30"/>
                <w:szCs w:val="30"/>
              </w:rPr>
              <w:t>年度）</w:t>
            </w:r>
          </w:p>
        </w:tc>
      </w:tr>
      <w:tr>
        <w:tblPrEx>
          <w:tblCellMar>
            <w:top w:w="0" w:type="dxa"/>
            <w:left w:w="108" w:type="dxa"/>
            <w:bottom w:w="0" w:type="dxa"/>
            <w:right w:w="108" w:type="dxa"/>
          </w:tblCellMar>
        </w:tblPrEx>
        <w:trPr>
          <w:trHeight w:val="285"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项目名称</w:t>
            </w:r>
          </w:p>
        </w:tc>
        <w:tc>
          <w:tcPr>
            <w:tcW w:w="11461" w:type="dxa"/>
            <w:gridSpan w:val="10"/>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51000022T000000249298-</w:t>
            </w:r>
            <w:r>
              <w:rPr>
                <w:rFonts w:hint="eastAsia" w:ascii="宋体" w:hAnsi="宋体"/>
                <w:color w:val="000000"/>
                <w:kern w:val="0"/>
                <w:sz w:val="18"/>
                <w:szCs w:val="18"/>
              </w:rPr>
              <w:t>税金及附加费用</w:t>
            </w:r>
          </w:p>
        </w:tc>
      </w:tr>
      <w:tr>
        <w:tblPrEx>
          <w:tblCellMar>
            <w:top w:w="0" w:type="dxa"/>
            <w:left w:w="108" w:type="dxa"/>
            <w:bottom w:w="0" w:type="dxa"/>
            <w:right w:w="108" w:type="dxa"/>
          </w:tblCellMar>
        </w:tblPrEx>
        <w:trPr>
          <w:trHeight w:val="514"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主管部门</w:t>
            </w: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四川省住房和城乡建设厅部门</w:t>
            </w:r>
          </w:p>
        </w:tc>
        <w:tc>
          <w:tcPr>
            <w:tcW w:w="1089" w:type="dxa"/>
            <w:tcBorders>
              <w:top w:val="nil"/>
              <w:left w:val="nil"/>
              <w:bottom w:val="nil"/>
              <w:right w:val="nil"/>
            </w:tcBorders>
            <w:shd w:val="clear" w:color="auto" w:fill="auto"/>
            <w:noWrap w:val="0"/>
            <w:vAlign w:val="center"/>
          </w:tcPr>
          <w:p>
            <w:pPr>
              <w:widowControl/>
              <w:jc w:val="left"/>
              <w:rPr>
                <w:color w:val="000000"/>
                <w:kern w:val="0"/>
                <w:sz w:val="18"/>
                <w:szCs w:val="18"/>
              </w:rPr>
            </w:pPr>
            <w:r>
              <w:rPr>
                <w:rFonts w:hint="eastAsia" w:ascii="黑体" w:hAnsi="黑体" w:eastAsia="黑体"/>
                <w:color w:val="000000"/>
                <w:kern w:val="0"/>
                <w:sz w:val="18"/>
                <w:szCs w:val="18"/>
              </w:rPr>
              <w:t>实施单位</w:t>
            </w:r>
            <w:r>
              <w:rPr>
                <w:color w:val="000000"/>
                <w:kern w:val="0"/>
                <w:sz w:val="18"/>
                <w:szCs w:val="18"/>
              </w:rPr>
              <w:t xml:space="preserve"> </w:t>
            </w:r>
            <w:r>
              <w:rPr>
                <w:rFonts w:hint="eastAsia" w:ascii="黑体" w:hAnsi="黑体" w:eastAsia="黑体"/>
                <w:color w:val="000000"/>
                <w:kern w:val="0"/>
                <w:sz w:val="18"/>
                <w:szCs w:val="18"/>
              </w:rPr>
              <w:t>（盖章）</w:t>
            </w:r>
          </w:p>
        </w:tc>
        <w:tc>
          <w:tcPr>
            <w:tcW w:w="353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四川省城乡建设研究院</w:t>
            </w:r>
          </w:p>
        </w:tc>
      </w:tr>
      <w:tr>
        <w:tblPrEx>
          <w:tblCellMar>
            <w:top w:w="0" w:type="dxa"/>
            <w:left w:w="108" w:type="dxa"/>
            <w:bottom w:w="0" w:type="dxa"/>
            <w:right w:w="108" w:type="dxa"/>
          </w:tblCellMar>
        </w:tblPrEx>
        <w:trPr>
          <w:trHeight w:val="285"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项目基本情况</w:t>
            </w:r>
          </w:p>
        </w:tc>
        <w:tc>
          <w:tcPr>
            <w:tcW w:w="169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1.</w:t>
            </w:r>
            <w:r>
              <w:rPr>
                <w:rFonts w:hint="eastAsia" w:ascii="宋体" w:hAnsi="宋体"/>
                <w:color w:val="000000"/>
                <w:kern w:val="0"/>
                <w:sz w:val="18"/>
                <w:szCs w:val="18"/>
              </w:rPr>
              <w:t>项目年度目标完成情况</w:t>
            </w: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项目年度目标</w:t>
            </w:r>
          </w:p>
        </w:tc>
        <w:tc>
          <w:tcPr>
            <w:tcW w:w="4625"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黑体" w:hAnsi="黑体" w:eastAsia="黑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根据</w:t>
            </w:r>
            <w:r>
              <w:rPr>
                <w:color w:val="000000"/>
                <w:kern w:val="0"/>
                <w:sz w:val="18"/>
                <w:szCs w:val="18"/>
              </w:rPr>
              <w:t>2022</w:t>
            </w:r>
            <w:r>
              <w:rPr>
                <w:rFonts w:hint="eastAsia" w:ascii="宋体" w:hAnsi="宋体"/>
                <w:color w:val="000000"/>
                <w:kern w:val="0"/>
                <w:sz w:val="18"/>
                <w:szCs w:val="18"/>
              </w:rPr>
              <w:t>年预计收入情况以及增值税、附加税费、企业所得税税率预计，预计增值税缴纳</w:t>
            </w:r>
            <w:r>
              <w:rPr>
                <w:color w:val="000000"/>
                <w:kern w:val="0"/>
                <w:sz w:val="18"/>
                <w:szCs w:val="18"/>
              </w:rPr>
              <w:t>150</w:t>
            </w:r>
            <w:r>
              <w:rPr>
                <w:rFonts w:hint="eastAsia" w:ascii="宋体" w:hAnsi="宋体"/>
                <w:color w:val="000000"/>
                <w:kern w:val="0"/>
                <w:sz w:val="18"/>
                <w:szCs w:val="18"/>
              </w:rPr>
              <w:t>万元，附加税费缴纳</w:t>
            </w:r>
            <w:r>
              <w:rPr>
                <w:color w:val="000000"/>
                <w:kern w:val="0"/>
                <w:sz w:val="18"/>
                <w:szCs w:val="18"/>
              </w:rPr>
              <w:t>18</w:t>
            </w:r>
            <w:r>
              <w:rPr>
                <w:rFonts w:hint="eastAsia" w:ascii="宋体" w:hAnsi="宋体"/>
                <w:color w:val="000000"/>
                <w:kern w:val="0"/>
                <w:sz w:val="18"/>
                <w:szCs w:val="18"/>
              </w:rPr>
              <w:t>万元，缴纳企业所得税</w:t>
            </w:r>
            <w:r>
              <w:rPr>
                <w:color w:val="000000"/>
                <w:kern w:val="0"/>
                <w:sz w:val="18"/>
                <w:szCs w:val="18"/>
              </w:rPr>
              <w:t>10</w:t>
            </w:r>
            <w:r>
              <w:rPr>
                <w:rFonts w:hint="eastAsia" w:ascii="宋体" w:hAnsi="宋体"/>
                <w:color w:val="000000"/>
                <w:kern w:val="0"/>
                <w:sz w:val="18"/>
                <w:szCs w:val="18"/>
              </w:rPr>
              <w:t>万元。</w:t>
            </w:r>
          </w:p>
        </w:tc>
        <w:tc>
          <w:tcPr>
            <w:tcW w:w="4625"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根据2022年度实际收入情况，按时依规缴纳增值税及相关附加税费、企业所得税、印花税和残疾人保障金共计214.80万元。</w:t>
            </w:r>
          </w:p>
        </w:tc>
      </w:tr>
      <w:tr>
        <w:tblPrEx>
          <w:tblCellMar>
            <w:top w:w="0" w:type="dxa"/>
            <w:left w:w="108" w:type="dxa"/>
            <w:bottom w:w="0" w:type="dxa"/>
            <w:right w:w="108" w:type="dxa"/>
          </w:tblCellMar>
        </w:tblPrEx>
        <w:trPr>
          <w:trHeight w:val="694"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left"/>
              <w:rPr>
                <w:rFonts w:hint="eastAsia"/>
                <w:color w:val="000000"/>
                <w:kern w:val="0"/>
                <w:sz w:val="18"/>
                <w:szCs w:val="18"/>
              </w:rPr>
            </w:pPr>
            <w:r>
              <w:rPr>
                <w:color w:val="000000"/>
                <w:kern w:val="0"/>
                <w:sz w:val="18"/>
                <w:szCs w:val="18"/>
              </w:rPr>
              <w:t>2.</w:t>
            </w:r>
            <w:r>
              <w:rPr>
                <w:rFonts w:hint="eastAsia" w:ascii="宋体" w:hAnsi="宋体"/>
                <w:color w:val="000000"/>
                <w:kern w:val="0"/>
                <w:sz w:val="18"/>
                <w:szCs w:val="18"/>
              </w:rPr>
              <w:t>项目实施内容及过程概述</w:t>
            </w:r>
          </w:p>
        </w:tc>
        <w:tc>
          <w:tcPr>
            <w:tcW w:w="11461" w:type="dxa"/>
            <w:gridSpan w:val="10"/>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严格根据税法中各税种的规定并依据实际收入情况计算税额，并按照税法规定的缴纳期，按期缴纳税款。</w:t>
            </w:r>
          </w:p>
        </w:tc>
      </w:tr>
      <w:tr>
        <w:tblPrEx>
          <w:tblCellMar>
            <w:top w:w="0" w:type="dxa"/>
            <w:left w:w="108" w:type="dxa"/>
            <w:bottom w:w="0" w:type="dxa"/>
            <w:right w:w="108" w:type="dxa"/>
          </w:tblCellMar>
        </w:tblPrEx>
        <w:trPr>
          <w:trHeight w:val="360"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color w:val="000000"/>
                <w:kern w:val="0"/>
                <w:sz w:val="18"/>
                <w:szCs w:val="18"/>
              </w:rPr>
            </w:pPr>
            <w:r>
              <w:rPr>
                <w:rFonts w:hint="eastAsia" w:ascii="宋体" w:hAnsi="宋体"/>
                <w:color w:val="000000"/>
                <w:kern w:val="0"/>
                <w:sz w:val="18"/>
                <w:szCs w:val="18"/>
              </w:rPr>
              <w:t>预算执行情况（</w:t>
            </w:r>
            <w:r>
              <w:rPr>
                <w:color w:val="000000"/>
                <w:kern w:val="0"/>
                <w:sz w:val="18"/>
                <w:szCs w:val="18"/>
              </w:rPr>
              <w:t>10</w:t>
            </w:r>
            <w:r>
              <w:rPr>
                <w:rFonts w:hint="eastAsia" w:ascii="宋体" w:hAnsi="宋体"/>
                <w:color w:val="000000"/>
                <w:kern w:val="0"/>
                <w:sz w:val="18"/>
                <w:szCs w:val="18"/>
              </w:rPr>
              <w:t>分）</w:t>
            </w: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年度预算数（万元）</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年初预算</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调整后预算数</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预算执行数</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预算执行率</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权重</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得分</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总额</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178.00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226.00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214.80</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95.04%</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9.5</w:t>
            </w:r>
          </w:p>
        </w:tc>
        <w:tc>
          <w:tcPr>
            <w:tcW w:w="2491"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预算执行率</w:t>
            </w:r>
            <w:r>
              <w:rPr>
                <w:color w:val="000000"/>
                <w:kern w:val="0"/>
                <w:sz w:val="18"/>
                <w:szCs w:val="18"/>
              </w:rPr>
              <w:t>95.04%</w:t>
            </w:r>
            <w:r>
              <w:rPr>
                <w:rFonts w:hint="eastAsia" w:ascii="宋体" w:hAnsi="宋体"/>
                <w:color w:val="000000"/>
                <w:kern w:val="0"/>
                <w:sz w:val="18"/>
                <w:szCs w:val="18"/>
              </w:rPr>
              <w:t>。预算年中调增，主要是开票收入增加影响所致。</w:t>
            </w:r>
          </w:p>
        </w:tc>
      </w:tr>
      <w:tr>
        <w:tblPrEx>
          <w:tblCellMar>
            <w:top w:w="0" w:type="dxa"/>
            <w:left w:w="108" w:type="dxa"/>
            <w:bottom w:w="0" w:type="dxa"/>
            <w:right w:w="108" w:type="dxa"/>
          </w:tblCellMar>
        </w:tblPrEx>
        <w:trPr>
          <w:trHeight w:val="432"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其中：财政资金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47"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财政专户管理资金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02"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单位资金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178.00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226.00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214.80</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95.04%</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379"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其他资金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54"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绩效指标（</w:t>
            </w:r>
            <w:r>
              <w:rPr>
                <w:color w:val="000000"/>
                <w:kern w:val="0"/>
                <w:sz w:val="18"/>
                <w:szCs w:val="18"/>
              </w:rPr>
              <w:t>90</w:t>
            </w:r>
            <w:r>
              <w:rPr>
                <w:rFonts w:hint="eastAsia" w:ascii="宋体" w:hAnsi="宋体"/>
                <w:color w:val="000000"/>
                <w:kern w:val="0"/>
                <w:sz w:val="18"/>
                <w:szCs w:val="18"/>
              </w:rPr>
              <w:t>分）</w:t>
            </w: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一级指标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二级指标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三级指标</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指标性质</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指标值</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度量单位</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完成值</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权重</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得分</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产出指标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成本指标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缴纳税金总额</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178</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万元</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6"/>
                <w:szCs w:val="16"/>
              </w:rPr>
            </w:pPr>
            <w:r>
              <w:rPr>
                <w:color w:val="000000"/>
                <w:kern w:val="0"/>
                <w:sz w:val="16"/>
                <w:szCs w:val="16"/>
              </w:rPr>
              <w:t>214.8</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70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70</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效益指标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经济效益指标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依法纳税</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定性</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优良中低差</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　</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优</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rFonts w:hint="eastAsia"/>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10</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社会效益指标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依法纳税</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定性</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优良中低差</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套</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优</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rFonts w:hint="eastAsia"/>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10</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285" w:hRule="atLeast"/>
        </w:trPr>
        <w:tc>
          <w:tcPr>
            <w:tcW w:w="10444"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合计</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　</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right"/>
              <w:rPr>
                <w:color w:val="000000"/>
                <w:kern w:val="0"/>
                <w:sz w:val="18"/>
                <w:szCs w:val="18"/>
              </w:rPr>
            </w:pPr>
            <w:r>
              <w:rPr>
                <w:color w:val="000000"/>
                <w:kern w:val="0"/>
                <w:sz w:val="18"/>
                <w:szCs w:val="18"/>
              </w:rPr>
              <w:t>99.5</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　</w:t>
            </w:r>
          </w:p>
        </w:tc>
      </w:tr>
      <w:tr>
        <w:tblPrEx>
          <w:tblCellMar>
            <w:top w:w="0" w:type="dxa"/>
            <w:left w:w="108" w:type="dxa"/>
            <w:bottom w:w="0" w:type="dxa"/>
            <w:right w:w="108" w:type="dxa"/>
          </w:tblCellMar>
        </w:tblPrEx>
        <w:trPr>
          <w:trHeight w:val="604"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评价结论</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项目自评总分99.5分，尽力创收，履行社会责任，为地方发展贡献税收力量。按时诚信纳税，从税收层面获得良好的信用评级。</w:t>
            </w:r>
          </w:p>
        </w:tc>
      </w:tr>
      <w:tr>
        <w:tblPrEx>
          <w:tblCellMar>
            <w:top w:w="0" w:type="dxa"/>
            <w:left w:w="108" w:type="dxa"/>
            <w:bottom w:w="0" w:type="dxa"/>
            <w:right w:w="108" w:type="dxa"/>
          </w:tblCellMar>
        </w:tblPrEx>
        <w:trPr>
          <w:trHeight w:val="574"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color w:val="000000"/>
                <w:kern w:val="0"/>
                <w:sz w:val="18"/>
                <w:szCs w:val="18"/>
              </w:rPr>
            </w:pPr>
            <w:r>
              <w:rPr>
                <w:rFonts w:hint="eastAsia" w:ascii="宋体" w:hAnsi="宋体"/>
                <w:color w:val="000000"/>
                <w:kern w:val="0"/>
                <w:sz w:val="18"/>
                <w:szCs w:val="18"/>
              </w:rPr>
              <w:t>存在问题</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受经济大环境影响，市场收入具有较大的不确定性，导致税金年中预算调整金额较大。</w:t>
            </w:r>
          </w:p>
        </w:tc>
      </w:tr>
      <w:tr>
        <w:tblPrEx>
          <w:tblCellMar>
            <w:top w:w="0" w:type="dxa"/>
            <w:left w:w="108" w:type="dxa"/>
            <w:bottom w:w="0" w:type="dxa"/>
            <w:right w:w="108" w:type="dxa"/>
          </w:tblCellMar>
        </w:tblPrEx>
        <w:trPr>
          <w:trHeight w:val="634"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color w:val="000000"/>
                <w:kern w:val="0"/>
                <w:sz w:val="18"/>
                <w:szCs w:val="18"/>
              </w:rPr>
            </w:pPr>
            <w:r>
              <w:rPr>
                <w:rFonts w:hint="eastAsia" w:ascii="宋体" w:hAnsi="宋体"/>
                <w:color w:val="000000"/>
                <w:kern w:val="0"/>
                <w:sz w:val="18"/>
                <w:szCs w:val="18"/>
              </w:rPr>
              <w:t>改进措施</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科学安排预算，提高预算安排的准确性。在预算进行调整后，及时跟进调整项目绩效目标。</w:t>
            </w:r>
          </w:p>
        </w:tc>
      </w:tr>
      <w:tr>
        <w:tblPrEx>
          <w:tblCellMar>
            <w:top w:w="0" w:type="dxa"/>
            <w:left w:w="108" w:type="dxa"/>
            <w:bottom w:w="0" w:type="dxa"/>
            <w:right w:w="108" w:type="dxa"/>
          </w:tblCellMar>
        </w:tblPrEx>
        <w:trPr>
          <w:trHeight w:val="285" w:hRule="atLeast"/>
        </w:trPr>
        <w:tc>
          <w:tcPr>
            <w:tcW w:w="7320"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黑体" w:hAnsi="黑体" w:eastAsia="黑体"/>
                <w:color w:val="000000"/>
                <w:kern w:val="0"/>
                <w:sz w:val="18"/>
                <w:szCs w:val="18"/>
              </w:rPr>
            </w:pPr>
            <w:r>
              <w:rPr>
                <w:rFonts w:hint="eastAsia" w:ascii="黑体" w:hAnsi="黑体" w:eastAsia="黑体"/>
                <w:color w:val="000000"/>
                <w:sz w:val="18"/>
                <w:szCs w:val="18"/>
              </w:rPr>
              <w:t>项目负责人：张樱川</w:t>
            </w:r>
          </w:p>
        </w:tc>
        <w:tc>
          <w:tcPr>
            <w:tcW w:w="6660" w:type="dxa"/>
            <w:gridSpan w:val="6"/>
            <w:tcBorders>
              <w:top w:val="single" w:color="000000" w:sz="4" w:space="0"/>
              <w:left w:val="nil"/>
              <w:bottom w:val="single" w:color="000000" w:sz="4" w:space="0"/>
              <w:right w:val="single" w:color="000000" w:sz="4" w:space="0"/>
            </w:tcBorders>
            <w:shd w:val="clear" w:color="auto" w:fill="auto"/>
            <w:noWrap w:val="0"/>
            <w:vAlign w:val="center"/>
          </w:tcPr>
          <w:p>
            <w:pPr>
              <w:rPr>
                <w:rFonts w:hint="eastAsia" w:ascii="黑体" w:hAnsi="黑体" w:eastAsia="黑体"/>
                <w:color w:val="000000"/>
                <w:sz w:val="18"/>
                <w:szCs w:val="18"/>
              </w:rPr>
            </w:pPr>
            <w:r>
              <w:rPr>
                <w:rFonts w:hint="eastAsia" w:ascii="黑体" w:hAnsi="黑体" w:eastAsia="黑体"/>
                <w:color w:val="000000"/>
                <w:sz w:val="18"/>
                <w:szCs w:val="18"/>
              </w:rPr>
              <w:t>财务负责人：杨猛</w:t>
            </w:r>
          </w:p>
        </w:tc>
      </w:tr>
      <w:tr>
        <w:tblPrEx>
          <w:tblCellMar>
            <w:top w:w="0" w:type="dxa"/>
            <w:left w:w="108" w:type="dxa"/>
            <w:bottom w:w="0" w:type="dxa"/>
            <w:right w:w="108" w:type="dxa"/>
          </w:tblCellMar>
        </w:tblPrEx>
        <w:trPr>
          <w:trHeight w:val="285" w:hRule="atLeast"/>
        </w:trPr>
        <w:tc>
          <w:tcPr>
            <w:tcW w:w="829" w:type="dxa"/>
            <w:tcBorders>
              <w:top w:val="nil"/>
              <w:left w:val="nil"/>
              <w:bottom w:val="nil"/>
              <w:right w:val="nil"/>
            </w:tcBorders>
            <w:shd w:val="clear" w:color="auto" w:fill="auto"/>
            <w:noWrap w:val="0"/>
            <w:vAlign w:val="center"/>
          </w:tcPr>
          <w:p>
            <w:pPr>
              <w:widowControl/>
              <w:jc w:val="left"/>
              <w:rPr>
                <w:color w:val="000000"/>
                <w:kern w:val="0"/>
                <w:sz w:val="18"/>
                <w:szCs w:val="18"/>
              </w:rPr>
            </w:pPr>
          </w:p>
        </w:tc>
        <w:tc>
          <w:tcPr>
            <w:tcW w:w="1690"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73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220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1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628" w:type="dxa"/>
            <w:gridSpan w:val="2"/>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756"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089"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1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31"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2491"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855" w:hRule="atLeast"/>
        </w:trPr>
        <w:tc>
          <w:tcPr>
            <w:tcW w:w="13980"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b/>
                <w:bCs/>
                <w:color w:val="000000"/>
                <w:kern w:val="0"/>
                <w:sz w:val="30"/>
                <w:szCs w:val="30"/>
              </w:rPr>
            </w:pPr>
            <w:r>
              <w:rPr>
                <w:rFonts w:hint="eastAsia" w:ascii="黑体" w:hAnsi="黑体" w:eastAsia="黑体"/>
                <w:b/>
                <w:bCs/>
                <w:color w:val="000000"/>
                <w:kern w:val="0"/>
                <w:sz w:val="30"/>
                <w:szCs w:val="30"/>
              </w:rPr>
              <w:t>部门预算项目支出绩效自评表（</w:t>
            </w:r>
            <w:r>
              <w:rPr>
                <w:b/>
                <w:bCs/>
                <w:color w:val="000000"/>
                <w:kern w:val="0"/>
                <w:sz w:val="30"/>
                <w:szCs w:val="30"/>
              </w:rPr>
              <w:t>2022</w:t>
            </w:r>
            <w:r>
              <w:rPr>
                <w:rFonts w:hint="eastAsia" w:ascii="黑体" w:hAnsi="黑体" w:eastAsia="黑体"/>
                <w:b/>
                <w:bCs/>
                <w:color w:val="000000"/>
                <w:kern w:val="0"/>
                <w:sz w:val="30"/>
                <w:szCs w:val="30"/>
              </w:rPr>
              <w:t>年度）</w:t>
            </w:r>
          </w:p>
        </w:tc>
      </w:tr>
      <w:tr>
        <w:tblPrEx>
          <w:tblCellMar>
            <w:top w:w="0" w:type="dxa"/>
            <w:left w:w="108" w:type="dxa"/>
            <w:bottom w:w="0" w:type="dxa"/>
            <w:right w:w="108" w:type="dxa"/>
          </w:tblCellMar>
        </w:tblPrEx>
        <w:trPr>
          <w:trHeight w:val="285"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项目名称</w:t>
            </w:r>
          </w:p>
        </w:tc>
        <w:tc>
          <w:tcPr>
            <w:tcW w:w="11461" w:type="dxa"/>
            <w:gridSpan w:val="10"/>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51000022T000000249661-</w:t>
            </w:r>
            <w:r>
              <w:rPr>
                <w:rFonts w:hint="eastAsia" w:ascii="宋体" w:hAnsi="宋体"/>
                <w:color w:val="000000"/>
                <w:kern w:val="0"/>
                <w:sz w:val="18"/>
                <w:szCs w:val="18"/>
              </w:rPr>
              <w:t>办公设备购置</w:t>
            </w:r>
          </w:p>
        </w:tc>
      </w:tr>
      <w:tr>
        <w:tblPrEx>
          <w:tblCellMar>
            <w:top w:w="0" w:type="dxa"/>
            <w:left w:w="108" w:type="dxa"/>
            <w:bottom w:w="0" w:type="dxa"/>
            <w:right w:w="108" w:type="dxa"/>
          </w:tblCellMar>
        </w:tblPrEx>
        <w:trPr>
          <w:trHeight w:val="450"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主管部门</w:t>
            </w: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四川省住房和城乡建设厅部门</w:t>
            </w:r>
          </w:p>
        </w:tc>
        <w:tc>
          <w:tcPr>
            <w:tcW w:w="1089" w:type="dxa"/>
            <w:tcBorders>
              <w:top w:val="nil"/>
              <w:left w:val="nil"/>
              <w:bottom w:val="nil"/>
              <w:right w:val="nil"/>
            </w:tcBorders>
            <w:shd w:val="clear" w:color="auto" w:fill="auto"/>
            <w:noWrap w:val="0"/>
            <w:vAlign w:val="center"/>
          </w:tcPr>
          <w:p>
            <w:pPr>
              <w:widowControl/>
              <w:jc w:val="left"/>
              <w:rPr>
                <w:color w:val="000000"/>
                <w:kern w:val="0"/>
                <w:sz w:val="18"/>
                <w:szCs w:val="18"/>
              </w:rPr>
            </w:pPr>
            <w:r>
              <w:rPr>
                <w:rFonts w:hint="eastAsia" w:ascii="黑体" w:hAnsi="黑体" w:eastAsia="黑体"/>
                <w:color w:val="000000"/>
                <w:kern w:val="0"/>
                <w:sz w:val="18"/>
                <w:szCs w:val="18"/>
              </w:rPr>
              <w:t>实施单位</w:t>
            </w:r>
            <w:r>
              <w:rPr>
                <w:color w:val="000000"/>
                <w:kern w:val="0"/>
                <w:sz w:val="18"/>
                <w:szCs w:val="18"/>
              </w:rPr>
              <w:t xml:space="preserve"> </w:t>
            </w:r>
            <w:r>
              <w:rPr>
                <w:rFonts w:hint="eastAsia" w:ascii="黑体" w:hAnsi="黑体" w:eastAsia="黑体"/>
                <w:color w:val="000000"/>
                <w:kern w:val="0"/>
                <w:sz w:val="18"/>
                <w:szCs w:val="18"/>
              </w:rPr>
              <w:t>（盖章）</w:t>
            </w:r>
          </w:p>
        </w:tc>
        <w:tc>
          <w:tcPr>
            <w:tcW w:w="353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四川省城乡建设研究院</w:t>
            </w:r>
          </w:p>
        </w:tc>
      </w:tr>
      <w:tr>
        <w:tblPrEx>
          <w:tblCellMar>
            <w:top w:w="0" w:type="dxa"/>
            <w:left w:w="108" w:type="dxa"/>
            <w:bottom w:w="0" w:type="dxa"/>
            <w:right w:w="108" w:type="dxa"/>
          </w:tblCellMar>
        </w:tblPrEx>
        <w:trPr>
          <w:trHeight w:val="285"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项目基本情况</w:t>
            </w:r>
          </w:p>
        </w:tc>
        <w:tc>
          <w:tcPr>
            <w:tcW w:w="169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1.</w:t>
            </w:r>
            <w:r>
              <w:rPr>
                <w:rFonts w:hint="eastAsia" w:ascii="宋体" w:hAnsi="宋体"/>
                <w:color w:val="000000"/>
                <w:kern w:val="0"/>
                <w:sz w:val="18"/>
                <w:szCs w:val="18"/>
              </w:rPr>
              <w:t>项目年度目标完成情况</w:t>
            </w: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项目年度目标</w:t>
            </w:r>
          </w:p>
        </w:tc>
        <w:tc>
          <w:tcPr>
            <w:tcW w:w="4625"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黑体" w:hAnsi="黑体" w:eastAsia="黑体"/>
                <w:color w:val="000000"/>
                <w:kern w:val="0"/>
                <w:sz w:val="18"/>
                <w:szCs w:val="18"/>
              </w:rPr>
              <w:t>年度目标完成情况</w:t>
            </w:r>
          </w:p>
        </w:tc>
      </w:tr>
      <w:tr>
        <w:tblPrEx>
          <w:tblCellMar>
            <w:top w:w="0" w:type="dxa"/>
            <w:left w:w="108" w:type="dxa"/>
            <w:bottom w:w="0" w:type="dxa"/>
            <w:right w:w="108" w:type="dxa"/>
          </w:tblCellMar>
        </w:tblPrEx>
        <w:trPr>
          <w:trHeight w:val="855"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根据</w:t>
            </w:r>
            <w:r>
              <w:rPr>
                <w:color w:val="000000"/>
                <w:kern w:val="0"/>
                <w:sz w:val="18"/>
                <w:szCs w:val="18"/>
              </w:rPr>
              <w:t>2021</w:t>
            </w:r>
            <w:r>
              <w:rPr>
                <w:rFonts w:hint="eastAsia" w:ascii="宋体" w:hAnsi="宋体"/>
                <w:color w:val="000000"/>
                <w:kern w:val="0"/>
                <w:sz w:val="18"/>
                <w:szCs w:val="18"/>
              </w:rPr>
              <w:t>年预计职工招聘情况，需要购置相应数量的办公家具及办公设备。</w:t>
            </w:r>
          </w:p>
        </w:tc>
        <w:tc>
          <w:tcPr>
            <w:tcW w:w="4625"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在预算资金范围内，完成了办公设备购置项目，预算资金在在节约的同时高效配置了办公设备，且目前使用情况良好，为全院职工的办公设施提供基本保障，提高工作效率。</w:t>
            </w:r>
          </w:p>
        </w:tc>
      </w:tr>
      <w:tr>
        <w:tblPrEx>
          <w:tblCellMar>
            <w:top w:w="0" w:type="dxa"/>
            <w:left w:w="108" w:type="dxa"/>
            <w:bottom w:w="0" w:type="dxa"/>
            <w:right w:w="108" w:type="dxa"/>
          </w:tblCellMar>
        </w:tblPrEx>
        <w:trPr>
          <w:trHeight w:val="855"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left"/>
              <w:rPr>
                <w:rFonts w:hint="eastAsia"/>
                <w:color w:val="000000"/>
                <w:kern w:val="0"/>
                <w:sz w:val="18"/>
                <w:szCs w:val="18"/>
              </w:rPr>
            </w:pPr>
            <w:r>
              <w:rPr>
                <w:color w:val="000000"/>
                <w:kern w:val="0"/>
                <w:sz w:val="18"/>
                <w:szCs w:val="18"/>
              </w:rPr>
              <w:t>2.</w:t>
            </w:r>
            <w:r>
              <w:rPr>
                <w:rFonts w:hint="eastAsia" w:ascii="宋体" w:hAnsi="宋体"/>
                <w:color w:val="000000"/>
                <w:kern w:val="0"/>
                <w:sz w:val="18"/>
                <w:szCs w:val="18"/>
              </w:rPr>
              <w:t>项目实施内容及过程概述</w:t>
            </w:r>
          </w:p>
        </w:tc>
        <w:tc>
          <w:tcPr>
            <w:tcW w:w="11461" w:type="dxa"/>
            <w:gridSpan w:val="10"/>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办公设备购置由我院办公室具体负责执行。根据《四川省</w:t>
            </w:r>
            <w:r>
              <w:rPr>
                <w:color w:val="000000"/>
                <w:kern w:val="0"/>
                <w:sz w:val="18"/>
                <w:szCs w:val="18"/>
              </w:rPr>
              <w:t>2020</w:t>
            </w:r>
            <w:r>
              <w:rPr>
                <w:rFonts w:hint="eastAsia" w:ascii="宋体" w:hAnsi="宋体"/>
                <w:color w:val="000000"/>
                <w:kern w:val="0"/>
                <w:sz w:val="18"/>
                <w:szCs w:val="18"/>
              </w:rPr>
              <w:t>年政府集中采购目录及采购限额标准》，对项目中涉及到的需要进行政府采购的设备，如：计算机、家具、服务器等，全部按规定执行政府采购流程进行采购。对其他不需要经过政府采购的设备，也通过竞争性磋商、三方比价等进行购买。项目已于</w:t>
            </w:r>
            <w:r>
              <w:rPr>
                <w:color w:val="000000"/>
                <w:kern w:val="0"/>
                <w:sz w:val="18"/>
                <w:szCs w:val="18"/>
              </w:rPr>
              <w:t>2022</w:t>
            </w:r>
            <w:r>
              <w:rPr>
                <w:rFonts w:hint="eastAsia" w:ascii="宋体" w:hAnsi="宋体"/>
                <w:color w:val="000000"/>
                <w:kern w:val="0"/>
                <w:sz w:val="18"/>
                <w:szCs w:val="18"/>
              </w:rPr>
              <w:t>全部安装完毕并验收投入使用，目前运用情况良好。</w:t>
            </w:r>
          </w:p>
        </w:tc>
      </w:tr>
      <w:tr>
        <w:tblPrEx>
          <w:tblCellMar>
            <w:top w:w="0" w:type="dxa"/>
            <w:left w:w="108" w:type="dxa"/>
            <w:bottom w:w="0" w:type="dxa"/>
            <w:right w:w="108" w:type="dxa"/>
          </w:tblCellMar>
        </w:tblPrEx>
        <w:trPr>
          <w:trHeight w:val="360"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预算执行情况（</w:t>
            </w:r>
            <w:r>
              <w:rPr>
                <w:color w:val="000000"/>
                <w:kern w:val="0"/>
                <w:sz w:val="18"/>
                <w:szCs w:val="18"/>
              </w:rPr>
              <w:t>10</w:t>
            </w:r>
            <w:r>
              <w:rPr>
                <w:rFonts w:hint="eastAsia" w:ascii="宋体" w:hAnsi="宋体"/>
                <w:color w:val="000000"/>
                <w:kern w:val="0"/>
                <w:sz w:val="18"/>
                <w:szCs w:val="18"/>
              </w:rPr>
              <w:t>分）</w:t>
            </w: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年度预算数（万元）</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年初预算</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调整后预算数</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预算执行数</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预算执行率</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权重</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得分</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总额</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61.00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64.50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61.64</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95.57%</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9.6</w:t>
            </w:r>
          </w:p>
        </w:tc>
        <w:tc>
          <w:tcPr>
            <w:tcW w:w="2491"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预算执行率</w:t>
            </w:r>
            <w:r>
              <w:rPr>
                <w:color w:val="000000"/>
                <w:kern w:val="0"/>
                <w:sz w:val="18"/>
                <w:szCs w:val="18"/>
              </w:rPr>
              <w:t>95.04%</w:t>
            </w:r>
            <w:r>
              <w:rPr>
                <w:rFonts w:hint="eastAsia" w:ascii="宋体" w:hAnsi="宋体"/>
                <w:color w:val="000000"/>
                <w:kern w:val="0"/>
                <w:sz w:val="18"/>
                <w:szCs w:val="18"/>
              </w:rPr>
              <w:t>。预算年中调增，主要是人员增加，增加配置工作站。</w:t>
            </w:r>
          </w:p>
        </w:tc>
      </w:tr>
      <w:tr>
        <w:tblPrEx>
          <w:tblCellMar>
            <w:top w:w="0" w:type="dxa"/>
            <w:left w:w="108" w:type="dxa"/>
            <w:bottom w:w="0" w:type="dxa"/>
            <w:right w:w="108" w:type="dxa"/>
          </w:tblCellMar>
        </w:tblPrEx>
        <w:trPr>
          <w:trHeight w:val="432"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其中：财政资金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47"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财政专户管理资金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02"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单位资金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61.00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64.50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61.64</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95.57%</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210"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其他资金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54"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绩效指标（</w:t>
            </w:r>
            <w:r>
              <w:rPr>
                <w:color w:val="000000"/>
                <w:kern w:val="0"/>
                <w:sz w:val="18"/>
                <w:szCs w:val="18"/>
              </w:rPr>
              <w:t>90</w:t>
            </w:r>
            <w:r>
              <w:rPr>
                <w:rFonts w:hint="eastAsia" w:ascii="宋体" w:hAnsi="宋体"/>
                <w:color w:val="000000"/>
                <w:kern w:val="0"/>
                <w:sz w:val="18"/>
                <w:szCs w:val="18"/>
              </w:rPr>
              <w:t>分）</w:t>
            </w: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一级指标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二级指标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三级指标</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指标性质</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指标值</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度量单位</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完成值</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权重</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得分</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未完成原因分析</w:t>
            </w:r>
          </w:p>
        </w:tc>
      </w:tr>
      <w:tr>
        <w:tblPrEx>
          <w:tblCellMar>
            <w:top w:w="0" w:type="dxa"/>
            <w:left w:w="108" w:type="dxa"/>
            <w:bottom w:w="0" w:type="dxa"/>
            <w:right w:w="108" w:type="dxa"/>
          </w:tblCellMar>
        </w:tblPrEx>
        <w:trPr>
          <w:trHeight w:val="315"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产出指标</w:t>
            </w:r>
          </w:p>
        </w:tc>
        <w:tc>
          <w:tcPr>
            <w:tcW w:w="1734"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数量指标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政府采购率</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60</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6"/>
                <w:szCs w:val="16"/>
              </w:rPr>
            </w:pPr>
            <w:r>
              <w:rPr>
                <w:color w:val="000000"/>
                <w:kern w:val="0"/>
                <w:sz w:val="16"/>
                <w:szCs w:val="16"/>
              </w:rPr>
              <w:t>86.73</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10</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315"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734"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购置设备数量</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35</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台（套）</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6"/>
                <w:szCs w:val="16"/>
              </w:rPr>
            </w:pPr>
            <w:r>
              <w:rPr>
                <w:color w:val="000000"/>
                <w:kern w:val="0"/>
                <w:sz w:val="16"/>
                <w:szCs w:val="16"/>
              </w:rPr>
              <w:t>188</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10</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315"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734"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质量指标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设备故障率</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5</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6"/>
                <w:szCs w:val="16"/>
              </w:rPr>
            </w:pPr>
            <w:r>
              <w:rPr>
                <w:color w:val="000000"/>
                <w:kern w:val="0"/>
                <w:sz w:val="16"/>
                <w:szCs w:val="16"/>
              </w:rPr>
              <w:t>2</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10</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315"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734"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安装工程验收合格率</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95</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6"/>
                <w:szCs w:val="16"/>
              </w:rPr>
            </w:pPr>
            <w:r>
              <w:rPr>
                <w:color w:val="000000"/>
                <w:kern w:val="0"/>
                <w:sz w:val="16"/>
                <w:szCs w:val="16"/>
              </w:rPr>
              <w:t>100</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10</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315"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734"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设备质量合格率</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95</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6"/>
                <w:szCs w:val="16"/>
              </w:rPr>
            </w:pPr>
            <w:r>
              <w:rPr>
                <w:color w:val="000000"/>
                <w:kern w:val="0"/>
                <w:sz w:val="16"/>
                <w:szCs w:val="16"/>
              </w:rPr>
              <w:t>100</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20</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效益指标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社会效益指标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设备利用率</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95</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6"/>
                <w:szCs w:val="16"/>
              </w:rPr>
            </w:pPr>
            <w:r>
              <w:rPr>
                <w:color w:val="000000"/>
                <w:kern w:val="0"/>
                <w:sz w:val="16"/>
                <w:szCs w:val="16"/>
              </w:rPr>
              <w:t>100</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10</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可持续影响指标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设备使用年限</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3</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年</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6"/>
                <w:szCs w:val="16"/>
              </w:rPr>
            </w:pPr>
            <w:r>
              <w:rPr>
                <w:color w:val="000000"/>
                <w:kern w:val="0"/>
                <w:sz w:val="16"/>
                <w:szCs w:val="16"/>
              </w:rPr>
              <w:t>6</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10</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454"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满意度指标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服务对象满意度指标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使用人员满意度</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95</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6"/>
                <w:szCs w:val="16"/>
              </w:rPr>
            </w:pPr>
            <w:r>
              <w:rPr>
                <w:color w:val="000000"/>
                <w:kern w:val="0"/>
                <w:sz w:val="16"/>
                <w:szCs w:val="16"/>
              </w:rPr>
              <w:t>97</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10</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285" w:hRule="atLeast"/>
        </w:trPr>
        <w:tc>
          <w:tcPr>
            <w:tcW w:w="10444"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合计</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　</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right"/>
              <w:rPr>
                <w:color w:val="000000"/>
                <w:kern w:val="0"/>
                <w:sz w:val="18"/>
                <w:szCs w:val="18"/>
              </w:rPr>
            </w:pPr>
            <w:r>
              <w:rPr>
                <w:color w:val="000000"/>
                <w:kern w:val="0"/>
                <w:sz w:val="18"/>
                <w:szCs w:val="18"/>
              </w:rPr>
              <w:t>99.6</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　</w:t>
            </w:r>
          </w:p>
        </w:tc>
      </w:tr>
      <w:tr>
        <w:tblPrEx>
          <w:tblCellMar>
            <w:top w:w="0" w:type="dxa"/>
            <w:left w:w="108" w:type="dxa"/>
            <w:bottom w:w="0" w:type="dxa"/>
            <w:right w:w="108" w:type="dxa"/>
          </w:tblCellMar>
        </w:tblPrEx>
        <w:trPr>
          <w:trHeight w:val="540"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评价结论</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项目自评总分99.6分，在预算资金范围内，完成了办公设备购置项目，预算资金在在节约的同时高效配置了办公设备，且目前使用情况良好，为全院职工的办公设施提供基本保障，提高工作效率。</w:t>
            </w:r>
          </w:p>
        </w:tc>
      </w:tr>
      <w:tr>
        <w:tblPrEx>
          <w:tblCellMar>
            <w:top w:w="0" w:type="dxa"/>
            <w:left w:w="108" w:type="dxa"/>
            <w:bottom w:w="0" w:type="dxa"/>
            <w:right w:w="108" w:type="dxa"/>
          </w:tblCellMar>
        </w:tblPrEx>
        <w:trPr>
          <w:trHeight w:val="375"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color w:val="000000"/>
                <w:kern w:val="0"/>
                <w:sz w:val="18"/>
                <w:szCs w:val="18"/>
              </w:rPr>
            </w:pPr>
            <w:r>
              <w:rPr>
                <w:rFonts w:hint="eastAsia" w:ascii="宋体" w:hAnsi="宋体"/>
                <w:color w:val="000000"/>
                <w:kern w:val="0"/>
                <w:sz w:val="18"/>
                <w:szCs w:val="18"/>
              </w:rPr>
              <w:t>存在问题</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预算编制合理性不足，造成部分年初预计购置的办公设备实际没有执行，而又未及时进行中期预算调整。</w:t>
            </w:r>
          </w:p>
        </w:tc>
      </w:tr>
      <w:tr>
        <w:tblPrEx>
          <w:tblCellMar>
            <w:top w:w="0" w:type="dxa"/>
            <w:left w:w="108" w:type="dxa"/>
            <w:bottom w:w="0" w:type="dxa"/>
            <w:right w:w="108" w:type="dxa"/>
          </w:tblCellMar>
        </w:tblPrEx>
        <w:trPr>
          <w:trHeight w:val="315"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color w:val="000000"/>
                <w:kern w:val="0"/>
                <w:sz w:val="18"/>
                <w:szCs w:val="18"/>
              </w:rPr>
            </w:pPr>
            <w:r>
              <w:rPr>
                <w:rFonts w:hint="eastAsia" w:ascii="宋体" w:hAnsi="宋体"/>
                <w:color w:val="000000"/>
                <w:kern w:val="0"/>
                <w:sz w:val="18"/>
                <w:szCs w:val="18"/>
              </w:rPr>
              <w:t>改进措施</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在年度预算执行过程中，及时督促项目实现实施进度与使用资金匹配，对确无法按计划实施的项目，及时进行预算调整，充分发挥资金的效益。</w:t>
            </w:r>
          </w:p>
        </w:tc>
      </w:tr>
      <w:tr>
        <w:tblPrEx>
          <w:tblCellMar>
            <w:top w:w="0" w:type="dxa"/>
            <w:left w:w="108" w:type="dxa"/>
            <w:bottom w:w="0" w:type="dxa"/>
            <w:right w:w="108" w:type="dxa"/>
          </w:tblCellMar>
        </w:tblPrEx>
        <w:trPr>
          <w:trHeight w:val="285" w:hRule="atLeast"/>
        </w:trPr>
        <w:tc>
          <w:tcPr>
            <w:tcW w:w="7320"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黑体" w:hAnsi="黑体" w:eastAsia="黑体"/>
                <w:color w:val="000000"/>
                <w:kern w:val="0"/>
                <w:sz w:val="18"/>
                <w:szCs w:val="18"/>
              </w:rPr>
            </w:pPr>
            <w:r>
              <w:rPr>
                <w:rFonts w:hint="eastAsia" w:ascii="黑体" w:hAnsi="黑体" w:eastAsia="黑体"/>
                <w:color w:val="000000"/>
                <w:sz w:val="18"/>
                <w:szCs w:val="18"/>
              </w:rPr>
              <w:t>项目负责人：骆杰</w:t>
            </w:r>
          </w:p>
        </w:tc>
        <w:tc>
          <w:tcPr>
            <w:tcW w:w="6660" w:type="dxa"/>
            <w:gridSpan w:val="6"/>
            <w:tcBorders>
              <w:top w:val="single" w:color="000000" w:sz="4" w:space="0"/>
              <w:left w:val="nil"/>
              <w:bottom w:val="single" w:color="000000" w:sz="4" w:space="0"/>
              <w:right w:val="single" w:color="000000" w:sz="4" w:space="0"/>
            </w:tcBorders>
            <w:shd w:val="clear" w:color="auto" w:fill="auto"/>
            <w:noWrap w:val="0"/>
            <w:vAlign w:val="center"/>
          </w:tcPr>
          <w:p>
            <w:pPr>
              <w:rPr>
                <w:rFonts w:hint="eastAsia" w:ascii="黑体" w:hAnsi="黑体" w:eastAsia="黑体"/>
                <w:color w:val="000000"/>
                <w:sz w:val="18"/>
                <w:szCs w:val="18"/>
              </w:rPr>
            </w:pPr>
            <w:r>
              <w:rPr>
                <w:rFonts w:hint="eastAsia" w:ascii="黑体" w:hAnsi="黑体" w:eastAsia="黑体"/>
                <w:color w:val="000000"/>
                <w:sz w:val="18"/>
                <w:szCs w:val="18"/>
              </w:rPr>
              <w:t>财务负责人：杨猛</w:t>
            </w:r>
          </w:p>
        </w:tc>
      </w:tr>
      <w:tr>
        <w:tblPrEx>
          <w:tblCellMar>
            <w:top w:w="0" w:type="dxa"/>
            <w:left w:w="108" w:type="dxa"/>
            <w:bottom w:w="0" w:type="dxa"/>
            <w:right w:w="108" w:type="dxa"/>
          </w:tblCellMar>
        </w:tblPrEx>
        <w:trPr>
          <w:trHeight w:val="285" w:hRule="atLeast"/>
        </w:trPr>
        <w:tc>
          <w:tcPr>
            <w:tcW w:w="829" w:type="dxa"/>
            <w:tcBorders>
              <w:top w:val="nil"/>
              <w:left w:val="nil"/>
              <w:bottom w:val="nil"/>
              <w:right w:val="nil"/>
            </w:tcBorders>
            <w:shd w:val="clear" w:color="auto" w:fill="auto"/>
            <w:noWrap w:val="0"/>
            <w:vAlign w:val="center"/>
          </w:tcPr>
          <w:p>
            <w:pPr>
              <w:widowControl/>
              <w:jc w:val="left"/>
              <w:rPr>
                <w:color w:val="000000"/>
                <w:kern w:val="0"/>
                <w:sz w:val="18"/>
                <w:szCs w:val="18"/>
              </w:rPr>
            </w:pPr>
          </w:p>
        </w:tc>
        <w:tc>
          <w:tcPr>
            <w:tcW w:w="1690"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73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220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1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628" w:type="dxa"/>
            <w:gridSpan w:val="2"/>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756"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089"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1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31"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2491"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04" w:hRule="atLeast"/>
        </w:trPr>
        <w:tc>
          <w:tcPr>
            <w:tcW w:w="13980"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b/>
                <w:bCs/>
                <w:color w:val="000000"/>
                <w:kern w:val="0"/>
                <w:sz w:val="30"/>
                <w:szCs w:val="30"/>
              </w:rPr>
            </w:pPr>
            <w:r>
              <w:rPr>
                <w:rFonts w:hint="eastAsia" w:ascii="黑体" w:hAnsi="黑体" w:eastAsia="黑体"/>
                <w:b/>
                <w:bCs/>
                <w:color w:val="000000"/>
                <w:kern w:val="0"/>
                <w:sz w:val="30"/>
                <w:szCs w:val="30"/>
              </w:rPr>
              <w:t>部门预算项目支出绩效自评表（</w:t>
            </w:r>
            <w:r>
              <w:rPr>
                <w:b/>
                <w:bCs/>
                <w:color w:val="000000"/>
                <w:kern w:val="0"/>
                <w:sz w:val="30"/>
                <w:szCs w:val="30"/>
              </w:rPr>
              <w:t>2022</w:t>
            </w:r>
            <w:r>
              <w:rPr>
                <w:rFonts w:hint="eastAsia" w:ascii="黑体" w:hAnsi="黑体" w:eastAsia="黑体"/>
                <w:b/>
                <w:bCs/>
                <w:color w:val="000000"/>
                <w:kern w:val="0"/>
                <w:sz w:val="30"/>
                <w:szCs w:val="30"/>
              </w:rPr>
              <w:t>年度）</w:t>
            </w:r>
          </w:p>
        </w:tc>
      </w:tr>
      <w:tr>
        <w:tblPrEx>
          <w:tblCellMar>
            <w:top w:w="0" w:type="dxa"/>
            <w:left w:w="108" w:type="dxa"/>
            <w:bottom w:w="0" w:type="dxa"/>
            <w:right w:w="108" w:type="dxa"/>
          </w:tblCellMar>
        </w:tblPrEx>
        <w:trPr>
          <w:trHeight w:val="285"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项目名称</w:t>
            </w:r>
          </w:p>
        </w:tc>
        <w:tc>
          <w:tcPr>
            <w:tcW w:w="11461" w:type="dxa"/>
            <w:gridSpan w:val="10"/>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51000022T000000249669-</w:t>
            </w:r>
            <w:r>
              <w:rPr>
                <w:rFonts w:hint="eastAsia" w:ascii="宋体" w:hAnsi="宋体"/>
                <w:color w:val="000000"/>
                <w:kern w:val="0"/>
                <w:sz w:val="18"/>
                <w:szCs w:val="18"/>
              </w:rPr>
              <w:t>四川省城乡建设绿色发展支撑体系研究</w:t>
            </w:r>
          </w:p>
        </w:tc>
      </w:tr>
      <w:tr>
        <w:tblPrEx>
          <w:tblCellMar>
            <w:top w:w="0" w:type="dxa"/>
            <w:left w:w="108" w:type="dxa"/>
            <w:bottom w:w="0" w:type="dxa"/>
            <w:right w:w="108" w:type="dxa"/>
          </w:tblCellMar>
        </w:tblPrEx>
        <w:trPr>
          <w:trHeight w:val="514"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主管部门</w:t>
            </w: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四川省住房和城乡建设厅部门</w:t>
            </w:r>
          </w:p>
        </w:tc>
        <w:tc>
          <w:tcPr>
            <w:tcW w:w="1089" w:type="dxa"/>
            <w:tcBorders>
              <w:top w:val="nil"/>
              <w:left w:val="nil"/>
              <w:bottom w:val="nil"/>
              <w:right w:val="nil"/>
            </w:tcBorders>
            <w:shd w:val="clear" w:color="auto" w:fill="auto"/>
            <w:noWrap w:val="0"/>
            <w:vAlign w:val="center"/>
          </w:tcPr>
          <w:p>
            <w:pPr>
              <w:widowControl/>
              <w:jc w:val="left"/>
              <w:rPr>
                <w:color w:val="000000"/>
                <w:kern w:val="0"/>
                <w:sz w:val="18"/>
                <w:szCs w:val="18"/>
              </w:rPr>
            </w:pPr>
            <w:r>
              <w:rPr>
                <w:rFonts w:hint="eastAsia" w:ascii="黑体" w:hAnsi="黑体" w:eastAsia="黑体"/>
                <w:color w:val="000000"/>
                <w:kern w:val="0"/>
                <w:sz w:val="18"/>
                <w:szCs w:val="18"/>
              </w:rPr>
              <w:t>实施单位</w:t>
            </w:r>
            <w:r>
              <w:rPr>
                <w:color w:val="000000"/>
                <w:kern w:val="0"/>
                <w:sz w:val="18"/>
                <w:szCs w:val="18"/>
              </w:rPr>
              <w:t xml:space="preserve"> </w:t>
            </w:r>
            <w:r>
              <w:rPr>
                <w:rFonts w:hint="eastAsia" w:ascii="黑体" w:hAnsi="黑体" w:eastAsia="黑体"/>
                <w:color w:val="000000"/>
                <w:kern w:val="0"/>
                <w:sz w:val="18"/>
                <w:szCs w:val="18"/>
              </w:rPr>
              <w:t>（盖章）</w:t>
            </w:r>
          </w:p>
        </w:tc>
        <w:tc>
          <w:tcPr>
            <w:tcW w:w="353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四川省城乡建设研究院</w:t>
            </w:r>
          </w:p>
        </w:tc>
      </w:tr>
      <w:tr>
        <w:tblPrEx>
          <w:tblCellMar>
            <w:top w:w="0" w:type="dxa"/>
            <w:left w:w="108" w:type="dxa"/>
            <w:bottom w:w="0" w:type="dxa"/>
            <w:right w:w="108" w:type="dxa"/>
          </w:tblCellMar>
        </w:tblPrEx>
        <w:trPr>
          <w:trHeight w:val="285"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项目基本情况</w:t>
            </w:r>
          </w:p>
        </w:tc>
        <w:tc>
          <w:tcPr>
            <w:tcW w:w="169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1.</w:t>
            </w:r>
            <w:r>
              <w:rPr>
                <w:rFonts w:hint="eastAsia" w:ascii="宋体" w:hAnsi="宋体"/>
                <w:color w:val="000000"/>
                <w:kern w:val="0"/>
                <w:sz w:val="18"/>
                <w:szCs w:val="18"/>
              </w:rPr>
              <w:t>项目年度目标完成情况</w:t>
            </w: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项目年度目标</w:t>
            </w:r>
          </w:p>
        </w:tc>
        <w:tc>
          <w:tcPr>
            <w:tcW w:w="4625"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黑体" w:hAnsi="黑体" w:eastAsia="黑体"/>
                <w:color w:val="000000"/>
                <w:kern w:val="0"/>
                <w:sz w:val="18"/>
                <w:szCs w:val="18"/>
              </w:rPr>
              <w:t>年度目标完成情况</w:t>
            </w:r>
          </w:p>
        </w:tc>
      </w:tr>
      <w:tr>
        <w:tblPrEx>
          <w:tblCellMar>
            <w:top w:w="0" w:type="dxa"/>
            <w:left w:w="108" w:type="dxa"/>
            <w:bottom w:w="0" w:type="dxa"/>
            <w:right w:w="108" w:type="dxa"/>
          </w:tblCellMar>
        </w:tblPrEx>
        <w:trPr>
          <w:trHeight w:val="1470"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通过该课题的研究，拟完成以下研究内容：国家战略下的四川省住房和城乡建设事业高质量发展支撑体系研究；四川省城乡建设绿色发展战略研究；四川省城市建设碳达峰规划导则；四川省厨余垃圾就地处理运行模式研究；四川省绿化生态效益评价及提升策略研究；四川省场镇风貌建设指南等项目。</w:t>
            </w:r>
          </w:p>
        </w:tc>
        <w:tc>
          <w:tcPr>
            <w:tcW w:w="4625"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该课题包括的16项研究内容，在2022年相继编制完成，支撑了1项省部级课题15项厅级课题。课题研究支撑出台了《四川省城市更新规划编制纲要》研究（含城市更新试点工作方案、试点城市（县）评分标准）、《四川省县级城市体检指标体系》等重要文件，指导了我省城乡建设、城市更新、城市韧性、环境生态建设等工作高质量推进。</w:t>
            </w:r>
          </w:p>
        </w:tc>
      </w:tr>
      <w:tr>
        <w:tblPrEx>
          <w:tblCellMar>
            <w:top w:w="0" w:type="dxa"/>
            <w:left w:w="108" w:type="dxa"/>
            <w:bottom w:w="0" w:type="dxa"/>
            <w:right w:w="108" w:type="dxa"/>
          </w:tblCellMar>
        </w:tblPrEx>
        <w:trPr>
          <w:trHeight w:val="694"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left"/>
              <w:rPr>
                <w:rFonts w:hint="eastAsia"/>
                <w:color w:val="000000"/>
                <w:kern w:val="0"/>
                <w:sz w:val="18"/>
                <w:szCs w:val="18"/>
              </w:rPr>
            </w:pPr>
            <w:r>
              <w:rPr>
                <w:color w:val="000000"/>
                <w:kern w:val="0"/>
                <w:sz w:val="18"/>
                <w:szCs w:val="18"/>
              </w:rPr>
              <w:t>2.</w:t>
            </w:r>
            <w:r>
              <w:rPr>
                <w:rFonts w:hint="eastAsia" w:ascii="宋体" w:hAnsi="宋体"/>
                <w:color w:val="000000"/>
                <w:kern w:val="0"/>
                <w:sz w:val="18"/>
                <w:szCs w:val="18"/>
              </w:rPr>
              <w:t>项目实施内容及过程概述</w:t>
            </w:r>
          </w:p>
        </w:tc>
        <w:tc>
          <w:tcPr>
            <w:tcW w:w="11461" w:type="dxa"/>
            <w:gridSpan w:val="10"/>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2022</w:t>
            </w:r>
            <w:r>
              <w:rPr>
                <w:rFonts w:hint="eastAsia" w:ascii="宋体" w:hAnsi="宋体"/>
                <w:color w:val="000000"/>
                <w:kern w:val="0"/>
                <w:sz w:val="18"/>
                <w:szCs w:val="18"/>
              </w:rPr>
              <w:t>年初，结合课题申报方向及厅相关处室重点工作，分立</w:t>
            </w:r>
            <w:r>
              <w:rPr>
                <w:color w:val="000000"/>
                <w:kern w:val="0"/>
                <w:sz w:val="18"/>
                <w:szCs w:val="18"/>
              </w:rPr>
              <w:t>16</w:t>
            </w:r>
            <w:r>
              <w:rPr>
                <w:rFonts w:hint="eastAsia" w:ascii="宋体" w:hAnsi="宋体"/>
                <w:color w:val="000000"/>
                <w:kern w:val="0"/>
                <w:sz w:val="18"/>
                <w:szCs w:val="18"/>
              </w:rPr>
              <w:t>个课题，由我院景园所、市政所、城镇所、政策研究室、更新中心等所室参加，先后投入近</w:t>
            </w:r>
            <w:r>
              <w:rPr>
                <w:color w:val="000000"/>
                <w:kern w:val="0"/>
                <w:sz w:val="18"/>
                <w:szCs w:val="18"/>
              </w:rPr>
              <w:t>80</w:t>
            </w:r>
            <w:r>
              <w:rPr>
                <w:rFonts w:hint="eastAsia" w:ascii="宋体" w:hAnsi="宋体"/>
                <w:color w:val="000000"/>
                <w:kern w:val="0"/>
                <w:sz w:val="18"/>
                <w:szCs w:val="18"/>
              </w:rPr>
              <w:t>人次，进行现场调研、资料收集等。中期进行院级初步审查，年底通过专家审查，最后形成有关成果。</w:t>
            </w:r>
          </w:p>
        </w:tc>
      </w:tr>
      <w:tr>
        <w:tblPrEx>
          <w:tblCellMar>
            <w:top w:w="0" w:type="dxa"/>
            <w:left w:w="108" w:type="dxa"/>
            <w:bottom w:w="0" w:type="dxa"/>
            <w:right w:w="108" w:type="dxa"/>
          </w:tblCellMar>
        </w:tblPrEx>
        <w:trPr>
          <w:trHeight w:val="360"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预算执行情况（</w:t>
            </w:r>
            <w:r>
              <w:rPr>
                <w:color w:val="000000"/>
                <w:kern w:val="0"/>
                <w:sz w:val="18"/>
                <w:szCs w:val="18"/>
              </w:rPr>
              <w:t>10</w:t>
            </w:r>
            <w:r>
              <w:rPr>
                <w:rFonts w:hint="eastAsia" w:ascii="宋体" w:hAnsi="宋体"/>
                <w:color w:val="000000"/>
                <w:kern w:val="0"/>
                <w:sz w:val="18"/>
                <w:szCs w:val="18"/>
              </w:rPr>
              <w:t>分）</w:t>
            </w: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年度预算数（万元）</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年初预算</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调整后预算数</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预算执行数</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预算执行率</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权重</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得分</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总额</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77.00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77.00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73.80</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95.85%</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9.6</w:t>
            </w:r>
          </w:p>
        </w:tc>
        <w:tc>
          <w:tcPr>
            <w:tcW w:w="2491"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年中未进行预算调整。</w:t>
            </w:r>
          </w:p>
        </w:tc>
      </w:tr>
      <w:tr>
        <w:tblPrEx>
          <w:tblCellMar>
            <w:top w:w="0" w:type="dxa"/>
            <w:left w:w="108" w:type="dxa"/>
            <w:bottom w:w="0" w:type="dxa"/>
            <w:right w:w="108" w:type="dxa"/>
          </w:tblCellMar>
        </w:tblPrEx>
        <w:trPr>
          <w:trHeight w:val="432"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rFonts w:hint="eastAsia"/>
                <w:color w:val="000000"/>
                <w:kern w:val="0"/>
                <w:sz w:val="18"/>
                <w:szCs w:val="18"/>
              </w:rPr>
            </w:pPr>
            <w:r>
              <w:rPr>
                <w:rFonts w:hint="eastAsia" w:ascii="宋体" w:hAnsi="宋体"/>
                <w:color w:val="000000"/>
                <w:kern w:val="0"/>
                <w:sz w:val="18"/>
                <w:szCs w:val="18"/>
              </w:rPr>
              <w:t>其中：财政资金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77.00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77.00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73.80</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95.85%</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47"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财政专户管理资金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单位资金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79"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其他资金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54"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绩效指标（</w:t>
            </w:r>
            <w:r>
              <w:rPr>
                <w:color w:val="000000"/>
                <w:kern w:val="0"/>
                <w:sz w:val="18"/>
                <w:szCs w:val="18"/>
              </w:rPr>
              <w:t>90</w:t>
            </w:r>
            <w:r>
              <w:rPr>
                <w:rFonts w:hint="eastAsia" w:ascii="宋体" w:hAnsi="宋体"/>
                <w:color w:val="000000"/>
                <w:kern w:val="0"/>
                <w:sz w:val="18"/>
                <w:szCs w:val="18"/>
              </w:rPr>
              <w:t>分）</w:t>
            </w: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一级指标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二级指标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三级指标</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指标性质</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指标值</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度量单位</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完成值</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权重</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得分</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产出指标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数量指标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承接项目数量</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个</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6"/>
                <w:szCs w:val="16"/>
              </w:rPr>
            </w:pPr>
            <w:r>
              <w:rPr>
                <w:color w:val="000000"/>
                <w:kern w:val="0"/>
                <w:sz w:val="16"/>
                <w:szCs w:val="16"/>
              </w:rPr>
              <w:t>16</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20</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成本指标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成本总额</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77</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万元</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6"/>
                <w:szCs w:val="16"/>
              </w:rPr>
            </w:pPr>
            <w:r>
              <w:rPr>
                <w:color w:val="000000"/>
                <w:kern w:val="0"/>
                <w:sz w:val="16"/>
                <w:szCs w:val="16"/>
              </w:rPr>
              <w:t>73.80</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50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50</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效益指标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社会效益指标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促进城乡建设事业的发展</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定性</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优良中低差</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　</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良</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rFonts w:hint="eastAsia"/>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8</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可持续发展指标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城乡建设环境及生态等</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定性</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优良中低差</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　</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良</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rFonts w:hint="eastAsia"/>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8</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285" w:hRule="atLeast"/>
        </w:trPr>
        <w:tc>
          <w:tcPr>
            <w:tcW w:w="10444"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合计</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　</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right"/>
              <w:rPr>
                <w:color w:val="000000"/>
                <w:kern w:val="0"/>
                <w:sz w:val="18"/>
                <w:szCs w:val="18"/>
              </w:rPr>
            </w:pPr>
            <w:r>
              <w:rPr>
                <w:color w:val="000000"/>
                <w:kern w:val="0"/>
                <w:sz w:val="18"/>
                <w:szCs w:val="18"/>
              </w:rPr>
              <w:t>95.6</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　</w:t>
            </w:r>
          </w:p>
        </w:tc>
      </w:tr>
      <w:tr>
        <w:tblPrEx>
          <w:tblCellMar>
            <w:top w:w="0" w:type="dxa"/>
            <w:left w:w="108" w:type="dxa"/>
            <w:bottom w:w="0" w:type="dxa"/>
            <w:right w:w="108" w:type="dxa"/>
          </w:tblCellMar>
        </w:tblPrEx>
        <w:trPr>
          <w:trHeight w:val="604"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评价结论</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6"/>
                <w:szCs w:val="16"/>
              </w:rPr>
            </w:pPr>
            <w:r>
              <w:rPr>
                <w:rFonts w:hint="eastAsia" w:ascii="宋体" w:hAnsi="宋体"/>
                <w:color w:val="000000"/>
                <w:kern w:val="0"/>
                <w:sz w:val="16"/>
                <w:szCs w:val="16"/>
              </w:rPr>
              <w:t>项目自评总分</w:t>
            </w:r>
            <w:r>
              <w:rPr>
                <w:color w:val="000000"/>
                <w:kern w:val="0"/>
                <w:sz w:val="16"/>
                <w:szCs w:val="16"/>
              </w:rPr>
              <w:t>95.6</w:t>
            </w:r>
            <w:r>
              <w:rPr>
                <w:rFonts w:hint="eastAsia" w:ascii="宋体" w:hAnsi="宋体"/>
                <w:color w:val="000000"/>
                <w:kern w:val="0"/>
                <w:sz w:val="16"/>
                <w:szCs w:val="16"/>
              </w:rPr>
              <w:t>分。积极参与各类科研课题研究，</w:t>
            </w:r>
            <w:r>
              <w:rPr>
                <w:color w:val="000000"/>
                <w:kern w:val="0"/>
                <w:sz w:val="16"/>
                <w:szCs w:val="16"/>
              </w:rPr>
              <w:t>2022</w:t>
            </w:r>
            <w:r>
              <w:rPr>
                <w:rFonts w:hint="eastAsia" w:ascii="宋体" w:hAnsi="宋体"/>
                <w:color w:val="000000"/>
                <w:kern w:val="0"/>
                <w:sz w:val="16"/>
                <w:szCs w:val="16"/>
              </w:rPr>
              <w:t>年完成省部级委托课题</w:t>
            </w:r>
            <w:r>
              <w:rPr>
                <w:color w:val="000000"/>
                <w:kern w:val="0"/>
                <w:sz w:val="16"/>
                <w:szCs w:val="16"/>
              </w:rPr>
              <w:t>3</w:t>
            </w:r>
            <w:r>
              <w:rPr>
                <w:rFonts w:hint="eastAsia" w:ascii="宋体" w:hAnsi="宋体"/>
                <w:color w:val="000000"/>
                <w:kern w:val="0"/>
                <w:sz w:val="16"/>
                <w:szCs w:val="16"/>
              </w:rPr>
              <w:t>项、省厅下达科研课题</w:t>
            </w:r>
            <w:r>
              <w:rPr>
                <w:color w:val="000000"/>
                <w:kern w:val="0"/>
                <w:sz w:val="16"/>
                <w:szCs w:val="16"/>
              </w:rPr>
              <w:t>13</w:t>
            </w:r>
            <w:r>
              <w:rPr>
                <w:rFonts w:hint="eastAsia" w:ascii="宋体" w:hAnsi="宋体"/>
                <w:color w:val="000000"/>
                <w:kern w:val="0"/>
                <w:sz w:val="16"/>
                <w:szCs w:val="16"/>
              </w:rPr>
              <w:t>项，营造了浓厚的科研学术氛围，并为我省住房和城乡建设事业贡献了智库力量。</w:t>
            </w:r>
          </w:p>
        </w:tc>
      </w:tr>
      <w:tr>
        <w:tblPrEx>
          <w:tblCellMar>
            <w:top w:w="0" w:type="dxa"/>
            <w:left w:w="108" w:type="dxa"/>
            <w:bottom w:w="0" w:type="dxa"/>
            <w:right w:w="108" w:type="dxa"/>
          </w:tblCellMar>
        </w:tblPrEx>
        <w:trPr>
          <w:trHeight w:val="574"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存在问题</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6"/>
                <w:szCs w:val="16"/>
              </w:rPr>
            </w:pPr>
            <w:r>
              <w:rPr>
                <w:color w:val="000000"/>
                <w:kern w:val="0"/>
                <w:sz w:val="16"/>
                <w:szCs w:val="16"/>
              </w:rPr>
              <w:t>全院课题研究缺乏系统谋划，主动攻坚克难意识不足、组织申报能力较弱，高层次、高水平研究成果不多。预算执行率有待加强。</w:t>
            </w:r>
          </w:p>
        </w:tc>
      </w:tr>
      <w:tr>
        <w:tblPrEx>
          <w:tblCellMar>
            <w:top w:w="0" w:type="dxa"/>
            <w:left w:w="108" w:type="dxa"/>
            <w:bottom w:w="0" w:type="dxa"/>
            <w:right w:w="108" w:type="dxa"/>
          </w:tblCellMar>
        </w:tblPrEx>
        <w:trPr>
          <w:trHeight w:val="634"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改进措施</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6"/>
                <w:szCs w:val="16"/>
              </w:rPr>
            </w:pPr>
            <w:r>
              <w:rPr>
                <w:color w:val="000000"/>
                <w:kern w:val="0"/>
                <w:sz w:val="16"/>
                <w:szCs w:val="16"/>
              </w:rPr>
              <w:t>提前谋划科研公关能力，严格课题选题、验收全过程管控；坚持科技自立自强、人才引领驱动，加大在高水平主创人员、高层次紧缺人才引进。</w:t>
            </w:r>
          </w:p>
        </w:tc>
      </w:tr>
      <w:tr>
        <w:tblPrEx>
          <w:tblCellMar>
            <w:top w:w="0" w:type="dxa"/>
            <w:left w:w="108" w:type="dxa"/>
            <w:bottom w:w="0" w:type="dxa"/>
            <w:right w:w="108" w:type="dxa"/>
          </w:tblCellMar>
        </w:tblPrEx>
        <w:trPr>
          <w:trHeight w:val="285" w:hRule="atLeast"/>
        </w:trPr>
        <w:tc>
          <w:tcPr>
            <w:tcW w:w="7320"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黑体" w:hAnsi="黑体" w:eastAsia="黑体"/>
                <w:color w:val="000000"/>
                <w:kern w:val="0"/>
                <w:sz w:val="18"/>
                <w:szCs w:val="18"/>
              </w:rPr>
            </w:pPr>
            <w:r>
              <w:rPr>
                <w:rFonts w:hint="eastAsia" w:ascii="黑体" w:hAnsi="黑体" w:eastAsia="黑体"/>
                <w:color w:val="000000"/>
                <w:sz w:val="18"/>
                <w:szCs w:val="18"/>
              </w:rPr>
              <w:t>项目负责人：冯可心</w:t>
            </w:r>
          </w:p>
        </w:tc>
        <w:tc>
          <w:tcPr>
            <w:tcW w:w="6660" w:type="dxa"/>
            <w:gridSpan w:val="6"/>
            <w:tcBorders>
              <w:top w:val="single" w:color="000000" w:sz="4" w:space="0"/>
              <w:left w:val="nil"/>
              <w:bottom w:val="single" w:color="000000" w:sz="4" w:space="0"/>
              <w:right w:val="single" w:color="000000" w:sz="4" w:space="0"/>
            </w:tcBorders>
            <w:shd w:val="clear" w:color="auto" w:fill="auto"/>
            <w:noWrap w:val="0"/>
            <w:vAlign w:val="center"/>
          </w:tcPr>
          <w:p>
            <w:pPr>
              <w:rPr>
                <w:rFonts w:hint="eastAsia" w:ascii="黑体" w:hAnsi="黑体" w:eastAsia="黑体"/>
                <w:color w:val="000000"/>
                <w:sz w:val="18"/>
                <w:szCs w:val="18"/>
              </w:rPr>
            </w:pPr>
            <w:r>
              <w:rPr>
                <w:rFonts w:hint="eastAsia" w:ascii="黑体" w:hAnsi="黑体" w:eastAsia="黑体"/>
                <w:color w:val="000000"/>
                <w:sz w:val="18"/>
                <w:szCs w:val="18"/>
              </w:rPr>
              <w:t>财务负责人：杨猛</w:t>
            </w:r>
          </w:p>
        </w:tc>
      </w:tr>
      <w:tr>
        <w:tblPrEx>
          <w:tblCellMar>
            <w:top w:w="0" w:type="dxa"/>
            <w:left w:w="108" w:type="dxa"/>
            <w:bottom w:w="0" w:type="dxa"/>
            <w:right w:w="108" w:type="dxa"/>
          </w:tblCellMar>
        </w:tblPrEx>
        <w:trPr>
          <w:trHeight w:val="285" w:hRule="atLeast"/>
        </w:trPr>
        <w:tc>
          <w:tcPr>
            <w:tcW w:w="829" w:type="dxa"/>
            <w:tcBorders>
              <w:top w:val="nil"/>
              <w:left w:val="nil"/>
              <w:bottom w:val="nil"/>
              <w:right w:val="nil"/>
            </w:tcBorders>
            <w:shd w:val="clear" w:color="auto" w:fill="auto"/>
            <w:noWrap w:val="0"/>
            <w:vAlign w:val="center"/>
          </w:tcPr>
          <w:p>
            <w:pPr>
              <w:widowControl/>
              <w:jc w:val="left"/>
              <w:rPr>
                <w:color w:val="000000"/>
                <w:kern w:val="0"/>
                <w:sz w:val="18"/>
                <w:szCs w:val="18"/>
              </w:rPr>
            </w:pPr>
          </w:p>
        </w:tc>
        <w:tc>
          <w:tcPr>
            <w:tcW w:w="1690"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73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220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1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628" w:type="dxa"/>
            <w:gridSpan w:val="2"/>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756"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089"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1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31"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2491"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04" w:hRule="atLeast"/>
        </w:trPr>
        <w:tc>
          <w:tcPr>
            <w:tcW w:w="13980"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b/>
                <w:bCs/>
                <w:color w:val="000000"/>
                <w:kern w:val="0"/>
                <w:sz w:val="30"/>
                <w:szCs w:val="30"/>
              </w:rPr>
            </w:pPr>
            <w:r>
              <w:rPr>
                <w:rFonts w:hint="eastAsia" w:ascii="黑体" w:hAnsi="黑体" w:eastAsia="黑体"/>
                <w:b/>
                <w:bCs/>
                <w:color w:val="000000"/>
                <w:kern w:val="0"/>
                <w:sz w:val="30"/>
                <w:szCs w:val="30"/>
              </w:rPr>
              <w:t>部门预算项目支出绩效自评表（</w:t>
            </w:r>
            <w:r>
              <w:rPr>
                <w:b/>
                <w:bCs/>
                <w:color w:val="000000"/>
                <w:kern w:val="0"/>
                <w:sz w:val="30"/>
                <w:szCs w:val="30"/>
              </w:rPr>
              <w:t>2022</w:t>
            </w:r>
            <w:r>
              <w:rPr>
                <w:rFonts w:hint="eastAsia" w:ascii="黑体" w:hAnsi="黑体" w:eastAsia="黑体"/>
                <w:b/>
                <w:bCs/>
                <w:color w:val="000000"/>
                <w:kern w:val="0"/>
                <w:sz w:val="30"/>
                <w:szCs w:val="30"/>
              </w:rPr>
              <w:t>年度）</w:t>
            </w:r>
          </w:p>
        </w:tc>
      </w:tr>
      <w:tr>
        <w:tblPrEx>
          <w:tblCellMar>
            <w:top w:w="0" w:type="dxa"/>
            <w:left w:w="108" w:type="dxa"/>
            <w:bottom w:w="0" w:type="dxa"/>
            <w:right w:w="108" w:type="dxa"/>
          </w:tblCellMar>
        </w:tblPrEx>
        <w:trPr>
          <w:trHeight w:val="285"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项目名称</w:t>
            </w:r>
          </w:p>
        </w:tc>
        <w:tc>
          <w:tcPr>
            <w:tcW w:w="11461" w:type="dxa"/>
            <w:gridSpan w:val="10"/>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51000022T000000249671-</w:t>
            </w:r>
            <w:r>
              <w:rPr>
                <w:rFonts w:hint="eastAsia" w:ascii="宋体" w:hAnsi="宋体"/>
                <w:color w:val="000000"/>
                <w:kern w:val="0"/>
                <w:sz w:val="18"/>
                <w:szCs w:val="18"/>
              </w:rPr>
              <w:t>四川省住房保障政策及住房规划评估等研究</w:t>
            </w:r>
          </w:p>
        </w:tc>
      </w:tr>
      <w:tr>
        <w:tblPrEx>
          <w:tblCellMar>
            <w:top w:w="0" w:type="dxa"/>
            <w:left w:w="108" w:type="dxa"/>
            <w:bottom w:w="0" w:type="dxa"/>
            <w:right w:w="108" w:type="dxa"/>
          </w:tblCellMar>
        </w:tblPrEx>
        <w:trPr>
          <w:trHeight w:val="514"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主管部门</w:t>
            </w: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四川省住房和城乡建设厅部门</w:t>
            </w:r>
          </w:p>
        </w:tc>
        <w:tc>
          <w:tcPr>
            <w:tcW w:w="1089" w:type="dxa"/>
            <w:tcBorders>
              <w:top w:val="nil"/>
              <w:left w:val="nil"/>
              <w:bottom w:val="nil"/>
              <w:right w:val="nil"/>
            </w:tcBorders>
            <w:shd w:val="clear" w:color="auto" w:fill="auto"/>
            <w:noWrap w:val="0"/>
            <w:vAlign w:val="center"/>
          </w:tcPr>
          <w:p>
            <w:pPr>
              <w:widowControl/>
              <w:jc w:val="left"/>
              <w:rPr>
                <w:color w:val="000000"/>
                <w:kern w:val="0"/>
                <w:sz w:val="18"/>
                <w:szCs w:val="18"/>
              </w:rPr>
            </w:pPr>
            <w:r>
              <w:rPr>
                <w:rFonts w:hint="eastAsia" w:ascii="黑体" w:hAnsi="黑体" w:eastAsia="黑体"/>
                <w:color w:val="000000"/>
                <w:kern w:val="0"/>
                <w:sz w:val="18"/>
                <w:szCs w:val="18"/>
              </w:rPr>
              <w:t>实施单位</w:t>
            </w:r>
            <w:r>
              <w:rPr>
                <w:color w:val="000000"/>
                <w:kern w:val="0"/>
                <w:sz w:val="18"/>
                <w:szCs w:val="18"/>
              </w:rPr>
              <w:t xml:space="preserve"> </w:t>
            </w:r>
            <w:r>
              <w:rPr>
                <w:rFonts w:hint="eastAsia" w:ascii="黑体" w:hAnsi="黑体" w:eastAsia="黑体"/>
                <w:color w:val="000000"/>
                <w:kern w:val="0"/>
                <w:sz w:val="18"/>
                <w:szCs w:val="18"/>
              </w:rPr>
              <w:t>（盖章）</w:t>
            </w:r>
          </w:p>
        </w:tc>
        <w:tc>
          <w:tcPr>
            <w:tcW w:w="353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四川省城乡建设研究院</w:t>
            </w:r>
          </w:p>
        </w:tc>
      </w:tr>
      <w:tr>
        <w:tblPrEx>
          <w:tblCellMar>
            <w:top w:w="0" w:type="dxa"/>
            <w:left w:w="108" w:type="dxa"/>
            <w:bottom w:w="0" w:type="dxa"/>
            <w:right w:w="108" w:type="dxa"/>
          </w:tblCellMar>
        </w:tblPrEx>
        <w:trPr>
          <w:trHeight w:val="285"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项目基本情况</w:t>
            </w:r>
          </w:p>
        </w:tc>
        <w:tc>
          <w:tcPr>
            <w:tcW w:w="169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1.</w:t>
            </w:r>
            <w:r>
              <w:rPr>
                <w:rFonts w:hint="eastAsia" w:ascii="宋体" w:hAnsi="宋体"/>
                <w:color w:val="000000"/>
                <w:kern w:val="0"/>
                <w:sz w:val="18"/>
                <w:szCs w:val="18"/>
              </w:rPr>
              <w:t>项目年度目标完成情况</w:t>
            </w: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项目年度目标</w:t>
            </w:r>
          </w:p>
        </w:tc>
        <w:tc>
          <w:tcPr>
            <w:tcW w:w="4625"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黑体" w:hAnsi="黑体" w:eastAsia="黑体"/>
                <w:color w:val="000000"/>
                <w:kern w:val="0"/>
                <w:sz w:val="18"/>
                <w:szCs w:val="18"/>
              </w:rPr>
              <w:t>年度目标完成情况</w:t>
            </w:r>
          </w:p>
        </w:tc>
      </w:tr>
      <w:tr>
        <w:tblPrEx>
          <w:tblCellMar>
            <w:top w:w="0" w:type="dxa"/>
            <w:left w:w="108" w:type="dxa"/>
            <w:bottom w:w="0" w:type="dxa"/>
            <w:right w:w="108" w:type="dxa"/>
          </w:tblCellMar>
        </w:tblPrEx>
        <w:trPr>
          <w:trHeight w:val="1335"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拟完成课题的研究：《四川省城镇住房发展规划（</w:t>
            </w:r>
            <w:r>
              <w:rPr>
                <w:color w:val="000000"/>
                <w:kern w:val="0"/>
                <w:sz w:val="18"/>
                <w:szCs w:val="18"/>
              </w:rPr>
              <w:t>2018-2022</w:t>
            </w:r>
            <w:r>
              <w:rPr>
                <w:rFonts w:hint="eastAsia" w:ascii="宋体" w:hAnsi="宋体"/>
                <w:color w:val="000000"/>
                <w:kern w:val="0"/>
                <w:sz w:val="18"/>
                <w:szCs w:val="18"/>
              </w:rPr>
              <w:t>年）》中期评估；四川省保障性租赁住房引入</w:t>
            </w:r>
            <w:r>
              <w:rPr>
                <w:color w:val="000000"/>
                <w:kern w:val="0"/>
                <w:sz w:val="18"/>
                <w:szCs w:val="18"/>
              </w:rPr>
              <w:t>REITs</w:t>
            </w:r>
            <w:r>
              <w:rPr>
                <w:rFonts w:hint="eastAsia" w:ascii="宋体" w:hAnsi="宋体"/>
                <w:color w:val="000000"/>
                <w:kern w:val="0"/>
                <w:sz w:val="18"/>
                <w:szCs w:val="18"/>
              </w:rPr>
              <w:t>融资模式的经济可行性研究；四川省住房保障评价指标体系研究等；四川省建筑业信息化及人才发展等相关政策等项目。</w:t>
            </w:r>
          </w:p>
        </w:tc>
        <w:tc>
          <w:tcPr>
            <w:tcW w:w="4625"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该课题包括的13项研究内容，在2022年相继编制完成，支撑了2项省部级课题11项厅级课题。课题研究支撑出台了《四川省历史文化街区及历史建筑活化利用消防设计指南》等文件，指导了我省城乡建设、住房保障、城市安全、环境生态建设等工作高质量推进。</w:t>
            </w:r>
          </w:p>
        </w:tc>
      </w:tr>
      <w:tr>
        <w:tblPrEx>
          <w:tblCellMar>
            <w:top w:w="0" w:type="dxa"/>
            <w:left w:w="108" w:type="dxa"/>
            <w:bottom w:w="0" w:type="dxa"/>
            <w:right w:w="108" w:type="dxa"/>
          </w:tblCellMar>
        </w:tblPrEx>
        <w:trPr>
          <w:trHeight w:val="694"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2.</w:t>
            </w:r>
            <w:r>
              <w:rPr>
                <w:rFonts w:hint="eastAsia" w:ascii="宋体" w:hAnsi="宋体"/>
                <w:color w:val="000000"/>
                <w:kern w:val="0"/>
                <w:sz w:val="18"/>
                <w:szCs w:val="18"/>
              </w:rPr>
              <w:t>项目实施内容及过程概述</w:t>
            </w:r>
          </w:p>
        </w:tc>
        <w:tc>
          <w:tcPr>
            <w:tcW w:w="11461" w:type="dxa"/>
            <w:gridSpan w:val="10"/>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2022年初，结合课题申报方向及厅相关处室重点工作，分立13个课题，由我院市政所、城镇所、政策研究室、更新中心、EPC中心等所室参加，先后投入近70人次，进行现场调研、资料收集等。中期进行院级初步审查，年底通过专家审查，最后形成有关成果。</w:t>
            </w:r>
          </w:p>
        </w:tc>
      </w:tr>
      <w:tr>
        <w:tblPrEx>
          <w:tblCellMar>
            <w:top w:w="0" w:type="dxa"/>
            <w:left w:w="108" w:type="dxa"/>
            <w:bottom w:w="0" w:type="dxa"/>
            <w:right w:w="108" w:type="dxa"/>
          </w:tblCellMar>
        </w:tblPrEx>
        <w:trPr>
          <w:trHeight w:val="360"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预算执行情况（</w:t>
            </w:r>
            <w:r>
              <w:rPr>
                <w:color w:val="000000"/>
                <w:kern w:val="0"/>
                <w:sz w:val="18"/>
                <w:szCs w:val="18"/>
              </w:rPr>
              <w:t>10</w:t>
            </w:r>
            <w:r>
              <w:rPr>
                <w:rFonts w:hint="eastAsia" w:ascii="宋体" w:hAnsi="宋体"/>
                <w:color w:val="000000"/>
                <w:kern w:val="0"/>
                <w:sz w:val="18"/>
                <w:szCs w:val="18"/>
              </w:rPr>
              <w:t>分）</w:t>
            </w: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年度预算数（万元）</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年初预算</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调整后预算数</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预算执行数</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预算执行率</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权重</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得分</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总额</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95.00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119.00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91.79</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77.14%</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7.7</w:t>
            </w:r>
          </w:p>
        </w:tc>
        <w:tc>
          <w:tcPr>
            <w:tcW w:w="2491"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olor w:val="000000"/>
                <w:kern w:val="0"/>
                <w:sz w:val="18"/>
                <w:szCs w:val="18"/>
                <w:lang w:eastAsia="zh-CN"/>
              </w:rPr>
            </w:pPr>
            <w:r>
              <w:rPr>
                <w:color w:val="000000"/>
                <w:kern w:val="0"/>
                <w:sz w:val="18"/>
                <w:szCs w:val="18"/>
              </w:rPr>
              <w:t>1.</w:t>
            </w:r>
            <w:r>
              <w:rPr>
                <w:rFonts w:hint="eastAsia" w:ascii="宋体" w:hAnsi="宋体"/>
                <w:color w:val="000000"/>
                <w:kern w:val="0"/>
                <w:sz w:val="18"/>
                <w:szCs w:val="18"/>
              </w:rPr>
              <w:t>财政于</w:t>
            </w:r>
            <w:r>
              <w:rPr>
                <w:color w:val="000000"/>
                <w:kern w:val="0"/>
                <w:sz w:val="18"/>
                <w:szCs w:val="18"/>
              </w:rPr>
              <w:t>10</w:t>
            </w:r>
            <w:r>
              <w:rPr>
                <w:rFonts w:hint="eastAsia" w:ascii="宋体" w:hAnsi="宋体"/>
                <w:color w:val="000000"/>
                <w:kern w:val="0"/>
                <w:sz w:val="18"/>
                <w:szCs w:val="18"/>
              </w:rPr>
              <w:t>月拨付</w:t>
            </w:r>
            <w:r>
              <w:rPr>
                <w:color w:val="000000"/>
                <w:kern w:val="0"/>
                <w:sz w:val="18"/>
                <w:szCs w:val="18"/>
              </w:rPr>
              <w:t>“</w:t>
            </w:r>
            <w:r>
              <w:rPr>
                <w:rFonts w:hint="eastAsia" w:ascii="宋体" w:hAnsi="宋体"/>
                <w:color w:val="000000"/>
                <w:kern w:val="0"/>
                <w:sz w:val="18"/>
                <w:szCs w:val="18"/>
              </w:rPr>
              <w:t>乡村人才振兴五年行动”经费</w:t>
            </w:r>
            <w:r>
              <w:rPr>
                <w:color w:val="000000"/>
                <w:kern w:val="0"/>
                <w:sz w:val="18"/>
                <w:szCs w:val="18"/>
              </w:rPr>
              <w:t>24</w:t>
            </w:r>
            <w:r>
              <w:rPr>
                <w:rFonts w:hint="eastAsia" w:ascii="宋体" w:hAnsi="宋体"/>
                <w:color w:val="000000"/>
                <w:kern w:val="0"/>
                <w:sz w:val="18"/>
                <w:szCs w:val="18"/>
              </w:rPr>
              <w:t>万元，该经费可持续使用，结转至</w:t>
            </w:r>
            <w:r>
              <w:rPr>
                <w:color w:val="000000"/>
                <w:kern w:val="0"/>
                <w:sz w:val="18"/>
                <w:szCs w:val="18"/>
              </w:rPr>
              <w:t>2023</w:t>
            </w:r>
            <w:r>
              <w:rPr>
                <w:rFonts w:hint="eastAsia" w:ascii="宋体" w:hAnsi="宋体"/>
                <w:color w:val="000000"/>
                <w:kern w:val="0"/>
                <w:sz w:val="18"/>
                <w:szCs w:val="18"/>
              </w:rPr>
              <w:t>年，导致预算执行率未达到</w:t>
            </w:r>
            <w:r>
              <w:rPr>
                <w:color w:val="000000"/>
                <w:kern w:val="0"/>
                <w:sz w:val="18"/>
                <w:szCs w:val="18"/>
              </w:rPr>
              <w:t>90%</w:t>
            </w:r>
            <w:r>
              <w:rPr>
                <w:rFonts w:hint="eastAsia" w:ascii="宋体" w:hAnsi="宋体"/>
                <w:color w:val="000000"/>
                <w:kern w:val="0"/>
                <w:sz w:val="18"/>
                <w:szCs w:val="18"/>
              </w:rPr>
              <w:t>。</w:t>
            </w:r>
          </w:p>
          <w:p>
            <w:pPr>
              <w:widowControl/>
              <w:jc w:val="left"/>
              <w:rPr>
                <w:color w:val="000000"/>
                <w:kern w:val="0"/>
                <w:sz w:val="18"/>
                <w:szCs w:val="18"/>
              </w:rPr>
            </w:pPr>
            <w:r>
              <w:rPr>
                <w:color w:val="000000"/>
                <w:kern w:val="0"/>
                <w:sz w:val="18"/>
                <w:szCs w:val="18"/>
              </w:rPr>
              <w:t>2.</w:t>
            </w:r>
            <w:r>
              <w:rPr>
                <w:rFonts w:hint="eastAsia" w:ascii="宋体" w:hAnsi="宋体"/>
                <w:color w:val="000000"/>
                <w:kern w:val="0"/>
                <w:sz w:val="18"/>
                <w:szCs w:val="18"/>
              </w:rPr>
              <w:t>年中追加预算系财政下达“乡村人才振兴五年行动”经费</w:t>
            </w:r>
            <w:r>
              <w:rPr>
                <w:color w:val="000000"/>
                <w:kern w:val="0"/>
                <w:sz w:val="18"/>
                <w:szCs w:val="18"/>
              </w:rPr>
              <w:t>24</w:t>
            </w:r>
            <w:r>
              <w:rPr>
                <w:rFonts w:hint="eastAsia" w:ascii="宋体" w:hAnsi="宋体"/>
                <w:color w:val="000000"/>
                <w:kern w:val="0"/>
                <w:sz w:val="18"/>
                <w:szCs w:val="18"/>
              </w:rPr>
              <w:t>万元。</w:t>
            </w:r>
          </w:p>
        </w:tc>
      </w:tr>
      <w:tr>
        <w:tblPrEx>
          <w:tblCellMar>
            <w:top w:w="0" w:type="dxa"/>
            <w:left w:w="108" w:type="dxa"/>
            <w:bottom w:w="0" w:type="dxa"/>
            <w:right w:w="108" w:type="dxa"/>
          </w:tblCellMar>
        </w:tblPrEx>
        <w:trPr>
          <w:trHeight w:val="432"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其中：财政资金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95.00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119.00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91.79</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77.14%</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47"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财政专户管理资金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02"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单位资金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379"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其他资金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54"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绩效指标（</w:t>
            </w:r>
            <w:r>
              <w:rPr>
                <w:color w:val="000000"/>
                <w:kern w:val="0"/>
                <w:sz w:val="18"/>
                <w:szCs w:val="18"/>
              </w:rPr>
              <w:t>90</w:t>
            </w:r>
            <w:r>
              <w:rPr>
                <w:rFonts w:hint="eastAsia" w:ascii="宋体" w:hAnsi="宋体"/>
                <w:color w:val="000000"/>
                <w:kern w:val="0"/>
                <w:sz w:val="18"/>
                <w:szCs w:val="18"/>
              </w:rPr>
              <w:t>分）</w:t>
            </w: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一级指标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二级指标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三级指标</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指标性质</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指标值</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度量单位</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完成值</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权重</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得分</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产出指标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数量指标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课题数量</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个</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6"/>
                <w:szCs w:val="16"/>
              </w:rPr>
            </w:pPr>
            <w:r>
              <w:rPr>
                <w:color w:val="000000"/>
                <w:kern w:val="0"/>
                <w:sz w:val="16"/>
                <w:szCs w:val="16"/>
              </w:rPr>
              <w:t>13</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20</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成本指标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项目总成本</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95</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万元</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6"/>
                <w:szCs w:val="16"/>
              </w:rPr>
            </w:pPr>
            <w:r>
              <w:rPr>
                <w:color w:val="000000"/>
                <w:kern w:val="0"/>
                <w:sz w:val="16"/>
                <w:szCs w:val="16"/>
              </w:rPr>
              <w:t>91.79</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50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50</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效益指标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可持续发展指标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城乡建设环境及生态等</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定性</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优良中低差</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　</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良</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rFonts w:hint="eastAsia"/>
                <w:color w:val="000000"/>
                <w:kern w:val="0"/>
                <w:sz w:val="18"/>
                <w:szCs w:val="18"/>
              </w:rPr>
            </w:pPr>
            <w:r>
              <w:rPr>
                <w:color w:val="000000"/>
                <w:kern w:val="0"/>
                <w:sz w:val="18"/>
                <w:szCs w:val="18"/>
              </w:rPr>
              <w:t>20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16</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285" w:hRule="atLeast"/>
        </w:trPr>
        <w:tc>
          <w:tcPr>
            <w:tcW w:w="10444"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合计</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　</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right"/>
              <w:rPr>
                <w:color w:val="000000"/>
                <w:kern w:val="0"/>
                <w:sz w:val="18"/>
                <w:szCs w:val="18"/>
              </w:rPr>
            </w:pPr>
            <w:r>
              <w:rPr>
                <w:color w:val="000000"/>
                <w:kern w:val="0"/>
                <w:sz w:val="18"/>
                <w:szCs w:val="18"/>
              </w:rPr>
              <w:t>93.7</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　</w:t>
            </w:r>
          </w:p>
        </w:tc>
      </w:tr>
      <w:tr>
        <w:tblPrEx>
          <w:tblCellMar>
            <w:top w:w="0" w:type="dxa"/>
            <w:left w:w="108" w:type="dxa"/>
            <w:bottom w:w="0" w:type="dxa"/>
            <w:right w:w="108" w:type="dxa"/>
          </w:tblCellMar>
        </w:tblPrEx>
        <w:trPr>
          <w:trHeight w:val="604"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评价结论</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6"/>
                <w:szCs w:val="16"/>
              </w:rPr>
            </w:pPr>
            <w:r>
              <w:rPr>
                <w:rFonts w:hint="eastAsia" w:ascii="宋体" w:hAnsi="宋体"/>
                <w:color w:val="000000"/>
                <w:kern w:val="0"/>
                <w:sz w:val="16"/>
                <w:szCs w:val="16"/>
              </w:rPr>
              <w:t>项目自评总分</w:t>
            </w:r>
            <w:r>
              <w:rPr>
                <w:color w:val="000000"/>
                <w:kern w:val="0"/>
                <w:sz w:val="16"/>
                <w:szCs w:val="16"/>
              </w:rPr>
              <w:t>93.7</w:t>
            </w:r>
            <w:r>
              <w:rPr>
                <w:rFonts w:hint="eastAsia" w:ascii="宋体" w:hAnsi="宋体"/>
                <w:color w:val="000000"/>
                <w:kern w:val="0"/>
                <w:sz w:val="16"/>
                <w:szCs w:val="16"/>
              </w:rPr>
              <w:t>分，积极参与各类科研课题申报，</w:t>
            </w:r>
            <w:r>
              <w:rPr>
                <w:color w:val="000000"/>
                <w:kern w:val="0"/>
                <w:sz w:val="16"/>
                <w:szCs w:val="16"/>
              </w:rPr>
              <w:t>2022</w:t>
            </w:r>
            <w:r>
              <w:rPr>
                <w:rFonts w:hint="eastAsia" w:ascii="宋体" w:hAnsi="宋体"/>
                <w:color w:val="000000"/>
                <w:kern w:val="0"/>
                <w:sz w:val="16"/>
                <w:szCs w:val="16"/>
              </w:rPr>
              <w:t>年完成省部级科研课题</w:t>
            </w:r>
            <w:r>
              <w:rPr>
                <w:color w:val="000000"/>
                <w:kern w:val="0"/>
                <w:sz w:val="16"/>
                <w:szCs w:val="16"/>
              </w:rPr>
              <w:t>2</w:t>
            </w:r>
            <w:r>
              <w:rPr>
                <w:rFonts w:hint="eastAsia" w:ascii="宋体" w:hAnsi="宋体"/>
                <w:color w:val="000000"/>
                <w:kern w:val="0"/>
                <w:sz w:val="16"/>
                <w:szCs w:val="16"/>
              </w:rPr>
              <w:t>项，省厅下达科研课题</w:t>
            </w:r>
            <w:r>
              <w:rPr>
                <w:color w:val="000000"/>
                <w:kern w:val="0"/>
                <w:sz w:val="16"/>
                <w:szCs w:val="16"/>
              </w:rPr>
              <w:t>11</w:t>
            </w:r>
            <w:r>
              <w:rPr>
                <w:rFonts w:hint="eastAsia" w:ascii="宋体" w:hAnsi="宋体"/>
                <w:color w:val="000000"/>
                <w:kern w:val="0"/>
                <w:sz w:val="16"/>
                <w:szCs w:val="16"/>
              </w:rPr>
              <w:t>项，营造了浓厚的科研学术氛围，并为我省住房和城乡建设事业贡献了智库力量。</w:t>
            </w:r>
          </w:p>
        </w:tc>
      </w:tr>
      <w:tr>
        <w:tblPrEx>
          <w:tblCellMar>
            <w:top w:w="0" w:type="dxa"/>
            <w:left w:w="108" w:type="dxa"/>
            <w:bottom w:w="0" w:type="dxa"/>
            <w:right w:w="108" w:type="dxa"/>
          </w:tblCellMar>
        </w:tblPrEx>
        <w:trPr>
          <w:trHeight w:val="574"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存在问题</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6"/>
                <w:szCs w:val="16"/>
              </w:rPr>
            </w:pPr>
            <w:r>
              <w:rPr>
                <w:color w:val="000000"/>
                <w:kern w:val="0"/>
                <w:sz w:val="16"/>
                <w:szCs w:val="16"/>
              </w:rPr>
              <w:t>全院课题研究缺乏系统谋划，主动攻坚克难意识不足、组织申报能力较弱，高层次、高水平研究成果不多。预算执行率有待提高。</w:t>
            </w:r>
          </w:p>
        </w:tc>
      </w:tr>
      <w:tr>
        <w:tblPrEx>
          <w:tblCellMar>
            <w:top w:w="0" w:type="dxa"/>
            <w:left w:w="108" w:type="dxa"/>
            <w:bottom w:w="0" w:type="dxa"/>
            <w:right w:w="108" w:type="dxa"/>
          </w:tblCellMar>
        </w:tblPrEx>
        <w:trPr>
          <w:trHeight w:val="634"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改进措施</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6"/>
                <w:szCs w:val="16"/>
              </w:rPr>
            </w:pPr>
            <w:r>
              <w:rPr>
                <w:color w:val="000000"/>
                <w:kern w:val="0"/>
                <w:sz w:val="16"/>
                <w:szCs w:val="16"/>
              </w:rPr>
              <w:t>提前谋划科研公关能力，严格课题选题、验收全过程管控；坚持科技自立自强、人才引领驱动，加大在高水平主创人员、高层次紧缺人才引进。做好项目预算资金使用管理，提供资金使用效益。</w:t>
            </w:r>
          </w:p>
        </w:tc>
      </w:tr>
      <w:tr>
        <w:tblPrEx>
          <w:tblCellMar>
            <w:top w:w="0" w:type="dxa"/>
            <w:left w:w="108" w:type="dxa"/>
            <w:bottom w:w="0" w:type="dxa"/>
            <w:right w:w="108" w:type="dxa"/>
          </w:tblCellMar>
        </w:tblPrEx>
        <w:trPr>
          <w:trHeight w:val="285" w:hRule="atLeast"/>
        </w:trPr>
        <w:tc>
          <w:tcPr>
            <w:tcW w:w="7320"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黑体" w:hAnsi="黑体" w:eastAsia="黑体"/>
                <w:color w:val="000000"/>
                <w:kern w:val="0"/>
                <w:sz w:val="18"/>
                <w:szCs w:val="18"/>
              </w:rPr>
            </w:pPr>
            <w:r>
              <w:rPr>
                <w:rFonts w:hint="eastAsia" w:ascii="黑体" w:hAnsi="黑体" w:eastAsia="黑体"/>
                <w:color w:val="000000"/>
                <w:sz w:val="18"/>
                <w:szCs w:val="18"/>
              </w:rPr>
              <w:t>项目负责人：冯可心</w:t>
            </w:r>
          </w:p>
        </w:tc>
        <w:tc>
          <w:tcPr>
            <w:tcW w:w="6660" w:type="dxa"/>
            <w:gridSpan w:val="6"/>
            <w:tcBorders>
              <w:top w:val="single" w:color="000000" w:sz="4" w:space="0"/>
              <w:left w:val="nil"/>
              <w:bottom w:val="single" w:color="000000" w:sz="4" w:space="0"/>
              <w:right w:val="single" w:color="000000" w:sz="4" w:space="0"/>
            </w:tcBorders>
            <w:shd w:val="clear" w:color="auto" w:fill="auto"/>
            <w:noWrap w:val="0"/>
            <w:vAlign w:val="center"/>
          </w:tcPr>
          <w:p>
            <w:pPr>
              <w:rPr>
                <w:rFonts w:hint="eastAsia" w:ascii="黑体" w:hAnsi="黑体" w:eastAsia="黑体"/>
                <w:color w:val="000000"/>
                <w:sz w:val="18"/>
                <w:szCs w:val="18"/>
              </w:rPr>
            </w:pPr>
            <w:r>
              <w:rPr>
                <w:rFonts w:hint="eastAsia" w:ascii="黑体" w:hAnsi="黑体" w:eastAsia="黑体"/>
                <w:color w:val="000000"/>
                <w:sz w:val="18"/>
                <w:szCs w:val="18"/>
              </w:rPr>
              <w:t>财务负责人：杨猛</w:t>
            </w:r>
          </w:p>
        </w:tc>
      </w:tr>
      <w:tr>
        <w:tblPrEx>
          <w:tblCellMar>
            <w:top w:w="0" w:type="dxa"/>
            <w:left w:w="108" w:type="dxa"/>
            <w:bottom w:w="0" w:type="dxa"/>
            <w:right w:w="108" w:type="dxa"/>
          </w:tblCellMar>
        </w:tblPrEx>
        <w:trPr>
          <w:trHeight w:val="285" w:hRule="atLeast"/>
        </w:trPr>
        <w:tc>
          <w:tcPr>
            <w:tcW w:w="829" w:type="dxa"/>
            <w:tcBorders>
              <w:top w:val="nil"/>
              <w:left w:val="nil"/>
              <w:bottom w:val="nil"/>
              <w:right w:val="nil"/>
            </w:tcBorders>
            <w:shd w:val="clear" w:color="auto" w:fill="auto"/>
            <w:noWrap w:val="0"/>
            <w:vAlign w:val="center"/>
          </w:tcPr>
          <w:p>
            <w:pPr>
              <w:widowControl/>
              <w:jc w:val="left"/>
              <w:rPr>
                <w:color w:val="000000"/>
                <w:kern w:val="0"/>
                <w:sz w:val="18"/>
                <w:szCs w:val="18"/>
              </w:rPr>
            </w:pPr>
          </w:p>
        </w:tc>
        <w:tc>
          <w:tcPr>
            <w:tcW w:w="1690"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73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220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1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628" w:type="dxa"/>
            <w:gridSpan w:val="2"/>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756"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089"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1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31"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2491"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85" w:hRule="atLeast"/>
        </w:trPr>
        <w:tc>
          <w:tcPr>
            <w:tcW w:w="829" w:type="dxa"/>
            <w:tcBorders>
              <w:top w:val="nil"/>
              <w:left w:val="nil"/>
              <w:bottom w:val="nil"/>
              <w:right w:val="nil"/>
            </w:tcBorders>
            <w:shd w:val="clear" w:color="auto" w:fill="auto"/>
            <w:noWrap w:val="0"/>
            <w:vAlign w:val="center"/>
          </w:tcPr>
          <w:p>
            <w:pPr>
              <w:widowControl/>
              <w:jc w:val="left"/>
              <w:rPr>
                <w:color w:val="000000"/>
                <w:kern w:val="0"/>
                <w:sz w:val="18"/>
                <w:szCs w:val="18"/>
              </w:rPr>
            </w:pPr>
          </w:p>
        </w:tc>
        <w:tc>
          <w:tcPr>
            <w:tcW w:w="1690"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73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220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1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628" w:type="dxa"/>
            <w:gridSpan w:val="2"/>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756"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089"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1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31"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2491"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04" w:hRule="atLeast"/>
        </w:trPr>
        <w:tc>
          <w:tcPr>
            <w:tcW w:w="13980"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b/>
                <w:bCs/>
                <w:color w:val="000000"/>
                <w:kern w:val="0"/>
                <w:sz w:val="30"/>
                <w:szCs w:val="30"/>
              </w:rPr>
            </w:pPr>
            <w:r>
              <w:rPr>
                <w:rFonts w:hint="eastAsia" w:ascii="黑体" w:hAnsi="黑体" w:eastAsia="黑体"/>
                <w:b/>
                <w:bCs/>
                <w:color w:val="000000"/>
                <w:kern w:val="0"/>
                <w:sz w:val="30"/>
                <w:szCs w:val="30"/>
              </w:rPr>
              <w:t>部门预算项目支出绩效自评表（</w:t>
            </w:r>
            <w:r>
              <w:rPr>
                <w:b/>
                <w:bCs/>
                <w:color w:val="000000"/>
                <w:kern w:val="0"/>
                <w:sz w:val="30"/>
                <w:szCs w:val="30"/>
              </w:rPr>
              <w:t>2022</w:t>
            </w:r>
            <w:r>
              <w:rPr>
                <w:rFonts w:hint="eastAsia" w:ascii="黑体" w:hAnsi="黑体" w:eastAsia="黑体"/>
                <w:b/>
                <w:bCs/>
                <w:color w:val="000000"/>
                <w:kern w:val="0"/>
                <w:sz w:val="30"/>
                <w:szCs w:val="30"/>
              </w:rPr>
              <w:t>年度）</w:t>
            </w:r>
          </w:p>
        </w:tc>
      </w:tr>
      <w:tr>
        <w:tblPrEx>
          <w:tblCellMar>
            <w:top w:w="0" w:type="dxa"/>
            <w:left w:w="108" w:type="dxa"/>
            <w:bottom w:w="0" w:type="dxa"/>
            <w:right w:w="108" w:type="dxa"/>
          </w:tblCellMar>
        </w:tblPrEx>
        <w:trPr>
          <w:trHeight w:val="285"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项目名称</w:t>
            </w:r>
          </w:p>
        </w:tc>
        <w:tc>
          <w:tcPr>
            <w:tcW w:w="11461" w:type="dxa"/>
            <w:gridSpan w:val="10"/>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51000022T000000249695-</w:t>
            </w:r>
            <w:r>
              <w:rPr>
                <w:rFonts w:hint="eastAsia" w:ascii="宋体" w:hAnsi="宋体"/>
                <w:color w:val="000000"/>
                <w:kern w:val="0"/>
                <w:sz w:val="18"/>
                <w:szCs w:val="18"/>
              </w:rPr>
              <w:t>老旧小区改造规划设计项目（峨眉、旺苍等地）</w:t>
            </w:r>
          </w:p>
        </w:tc>
      </w:tr>
      <w:tr>
        <w:tblPrEx>
          <w:tblCellMar>
            <w:top w:w="0" w:type="dxa"/>
            <w:left w:w="108" w:type="dxa"/>
            <w:bottom w:w="0" w:type="dxa"/>
            <w:right w:w="108" w:type="dxa"/>
          </w:tblCellMar>
        </w:tblPrEx>
        <w:trPr>
          <w:trHeight w:val="514"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主管部门</w:t>
            </w: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四川省住房和城乡建设厅部门</w:t>
            </w:r>
          </w:p>
        </w:tc>
        <w:tc>
          <w:tcPr>
            <w:tcW w:w="1089" w:type="dxa"/>
            <w:tcBorders>
              <w:top w:val="nil"/>
              <w:left w:val="nil"/>
              <w:bottom w:val="nil"/>
              <w:right w:val="nil"/>
            </w:tcBorders>
            <w:shd w:val="clear" w:color="auto" w:fill="auto"/>
            <w:noWrap w:val="0"/>
            <w:vAlign w:val="center"/>
          </w:tcPr>
          <w:p>
            <w:pPr>
              <w:widowControl/>
              <w:jc w:val="left"/>
              <w:rPr>
                <w:color w:val="000000"/>
                <w:kern w:val="0"/>
                <w:sz w:val="18"/>
                <w:szCs w:val="18"/>
              </w:rPr>
            </w:pPr>
            <w:r>
              <w:rPr>
                <w:rFonts w:hint="eastAsia" w:ascii="黑体" w:hAnsi="黑体" w:eastAsia="黑体"/>
                <w:color w:val="000000"/>
                <w:kern w:val="0"/>
                <w:sz w:val="18"/>
                <w:szCs w:val="18"/>
              </w:rPr>
              <w:t>实施单位</w:t>
            </w:r>
            <w:r>
              <w:rPr>
                <w:color w:val="000000"/>
                <w:kern w:val="0"/>
                <w:sz w:val="18"/>
                <w:szCs w:val="18"/>
              </w:rPr>
              <w:t xml:space="preserve"> </w:t>
            </w:r>
            <w:r>
              <w:rPr>
                <w:rFonts w:hint="eastAsia" w:ascii="黑体" w:hAnsi="黑体" w:eastAsia="黑体"/>
                <w:color w:val="000000"/>
                <w:kern w:val="0"/>
                <w:sz w:val="18"/>
                <w:szCs w:val="18"/>
              </w:rPr>
              <w:t>（盖章）</w:t>
            </w:r>
          </w:p>
        </w:tc>
        <w:tc>
          <w:tcPr>
            <w:tcW w:w="353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四川省城乡建设研究院</w:t>
            </w:r>
          </w:p>
        </w:tc>
      </w:tr>
      <w:tr>
        <w:tblPrEx>
          <w:tblCellMar>
            <w:top w:w="0" w:type="dxa"/>
            <w:left w:w="108" w:type="dxa"/>
            <w:bottom w:w="0" w:type="dxa"/>
            <w:right w:w="108" w:type="dxa"/>
          </w:tblCellMar>
        </w:tblPrEx>
        <w:trPr>
          <w:trHeight w:val="285"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项目基本情况</w:t>
            </w:r>
          </w:p>
        </w:tc>
        <w:tc>
          <w:tcPr>
            <w:tcW w:w="169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1.</w:t>
            </w:r>
            <w:r>
              <w:rPr>
                <w:rFonts w:hint="eastAsia" w:ascii="宋体" w:hAnsi="宋体"/>
                <w:color w:val="000000"/>
                <w:kern w:val="0"/>
                <w:sz w:val="18"/>
                <w:szCs w:val="18"/>
              </w:rPr>
              <w:t>项目年度目标完成情况</w:t>
            </w: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项目年度目标</w:t>
            </w:r>
          </w:p>
        </w:tc>
        <w:tc>
          <w:tcPr>
            <w:tcW w:w="4625"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黑体" w:hAnsi="黑体" w:eastAsia="黑体"/>
                <w:color w:val="000000"/>
                <w:kern w:val="0"/>
                <w:sz w:val="18"/>
                <w:szCs w:val="18"/>
              </w:rPr>
              <w:t>年度目标完成情况</w:t>
            </w:r>
          </w:p>
        </w:tc>
      </w:tr>
      <w:tr>
        <w:tblPrEx>
          <w:tblCellMar>
            <w:top w:w="0" w:type="dxa"/>
            <w:left w:w="108" w:type="dxa"/>
            <w:bottom w:w="0" w:type="dxa"/>
            <w:right w:w="108" w:type="dxa"/>
          </w:tblCellMar>
        </w:tblPrEx>
        <w:trPr>
          <w:trHeight w:val="1035"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根据院职能范围以及</w:t>
            </w:r>
            <w:r>
              <w:rPr>
                <w:color w:val="000000"/>
                <w:kern w:val="0"/>
                <w:sz w:val="18"/>
                <w:szCs w:val="18"/>
              </w:rPr>
              <w:t>2022</w:t>
            </w:r>
            <w:r>
              <w:rPr>
                <w:rFonts w:hint="eastAsia" w:ascii="宋体" w:hAnsi="宋体"/>
                <w:color w:val="000000"/>
                <w:kern w:val="0"/>
                <w:sz w:val="18"/>
                <w:szCs w:val="18"/>
              </w:rPr>
              <w:t>年相关技术成果转化的预计经营情况。对市县城市现有情况进行摸底，形成数据库。对十四五期间城市更新改造进行分析，对基础类，完善类，提升类改造项目形成针对性的规划措施及方法。形成</w:t>
            </w:r>
            <w:r>
              <w:rPr>
                <w:color w:val="000000"/>
                <w:kern w:val="0"/>
                <w:sz w:val="18"/>
                <w:szCs w:val="18"/>
              </w:rPr>
              <w:t>2021-2025</w:t>
            </w:r>
            <w:r>
              <w:rPr>
                <w:rFonts w:hint="eastAsia" w:ascii="宋体" w:hAnsi="宋体"/>
                <w:color w:val="000000"/>
                <w:kern w:val="0"/>
                <w:sz w:val="18"/>
                <w:szCs w:val="18"/>
              </w:rPr>
              <w:t>年城市更新项目库，指导地方有序开展老旧小区改造工作。</w:t>
            </w:r>
          </w:p>
        </w:tc>
        <w:tc>
          <w:tcPr>
            <w:tcW w:w="4625"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根据年度目标，完成了自贡老旧小区专项改造规划和泸州城镇老旧小区专项改造规划。</w:t>
            </w:r>
          </w:p>
        </w:tc>
      </w:tr>
      <w:tr>
        <w:tblPrEx>
          <w:tblCellMar>
            <w:top w:w="0" w:type="dxa"/>
            <w:left w:w="108" w:type="dxa"/>
            <w:bottom w:w="0" w:type="dxa"/>
            <w:right w:w="108" w:type="dxa"/>
          </w:tblCellMar>
        </w:tblPrEx>
        <w:trPr>
          <w:trHeight w:val="780"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left"/>
              <w:rPr>
                <w:rFonts w:hint="eastAsia"/>
                <w:color w:val="000000"/>
                <w:kern w:val="0"/>
                <w:sz w:val="18"/>
                <w:szCs w:val="18"/>
              </w:rPr>
            </w:pPr>
            <w:r>
              <w:rPr>
                <w:color w:val="000000"/>
                <w:kern w:val="0"/>
                <w:sz w:val="18"/>
                <w:szCs w:val="18"/>
              </w:rPr>
              <w:t>2.</w:t>
            </w:r>
            <w:r>
              <w:rPr>
                <w:rFonts w:hint="eastAsia" w:ascii="宋体" w:hAnsi="宋体"/>
                <w:color w:val="000000"/>
                <w:kern w:val="0"/>
                <w:sz w:val="18"/>
                <w:szCs w:val="18"/>
              </w:rPr>
              <w:t>项目实施内容及过程概述</w:t>
            </w:r>
          </w:p>
        </w:tc>
        <w:tc>
          <w:tcPr>
            <w:tcW w:w="11461" w:type="dxa"/>
            <w:gridSpan w:val="10"/>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摸清项目地老旧小区底数，树立</w:t>
            </w:r>
            <w:r>
              <w:rPr>
                <w:color w:val="000000"/>
                <w:kern w:val="0"/>
                <w:sz w:val="18"/>
                <w:szCs w:val="18"/>
              </w:rPr>
              <w:t>“</w:t>
            </w:r>
            <w:r>
              <w:rPr>
                <w:rFonts w:hint="eastAsia" w:ascii="宋体" w:hAnsi="宋体"/>
                <w:color w:val="000000"/>
                <w:kern w:val="0"/>
                <w:sz w:val="18"/>
                <w:szCs w:val="18"/>
              </w:rPr>
              <w:t>存量思维</w:t>
            </w:r>
            <w:r>
              <w:rPr>
                <w:color w:val="000000"/>
                <w:kern w:val="0"/>
                <w:sz w:val="18"/>
                <w:szCs w:val="18"/>
              </w:rPr>
              <w:t>”</w:t>
            </w:r>
            <w:r>
              <w:rPr>
                <w:rFonts w:hint="eastAsia" w:ascii="宋体" w:hAnsi="宋体"/>
                <w:color w:val="000000"/>
                <w:kern w:val="0"/>
                <w:sz w:val="18"/>
                <w:szCs w:val="18"/>
              </w:rPr>
              <w:t>，尊重群众意愿，统筹组织实施，科学编制城镇老旧小区改造专项规划，确定年度改造计划，整合改造项目，列入国家和全省老旧小区改造项目库，积极申报改造项目资金支持，确定改造单元和老旧小区分类改造指引，科学指导城镇老旧小区改造工作。</w:t>
            </w:r>
          </w:p>
        </w:tc>
      </w:tr>
      <w:tr>
        <w:tblPrEx>
          <w:tblCellMar>
            <w:top w:w="0" w:type="dxa"/>
            <w:left w:w="108" w:type="dxa"/>
            <w:bottom w:w="0" w:type="dxa"/>
            <w:right w:w="108" w:type="dxa"/>
          </w:tblCellMar>
        </w:tblPrEx>
        <w:trPr>
          <w:trHeight w:val="360"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预算执行情况（</w:t>
            </w:r>
            <w:r>
              <w:rPr>
                <w:color w:val="000000"/>
                <w:kern w:val="0"/>
                <w:sz w:val="18"/>
                <w:szCs w:val="18"/>
              </w:rPr>
              <w:t>10</w:t>
            </w:r>
            <w:r>
              <w:rPr>
                <w:rFonts w:hint="eastAsia" w:ascii="宋体" w:hAnsi="宋体"/>
                <w:color w:val="000000"/>
                <w:kern w:val="0"/>
                <w:sz w:val="18"/>
                <w:szCs w:val="18"/>
              </w:rPr>
              <w:t>分）</w:t>
            </w: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年度预算数（万元）</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年初预算</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调整后预算数</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预算执行数</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预算执行率</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权重</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得分</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原因</w:t>
            </w:r>
          </w:p>
        </w:tc>
      </w:tr>
      <w:tr>
        <w:tblPrEx>
          <w:tblCellMar>
            <w:top w:w="0" w:type="dxa"/>
            <w:left w:w="108" w:type="dxa"/>
            <w:bottom w:w="0" w:type="dxa"/>
            <w:right w:w="108" w:type="dxa"/>
          </w:tblCellMar>
        </w:tblPrEx>
        <w:trPr>
          <w:trHeight w:val="450"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总额</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250.00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32.00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24.94</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77.92%</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7.8</w:t>
            </w:r>
          </w:p>
        </w:tc>
        <w:tc>
          <w:tcPr>
            <w:tcW w:w="2491"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黑体" w:hAnsi="黑体" w:eastAsia="黑体"/>
                <w:color w:val="000000"/>
                <w:kern w:val="0"/>
                <w:sz w:val="18"/>
                <w:szCs w:val="18"/>
                <w:lang w:eastAsia="zh-CN"/>
              </w:rPr>
            </w:pPr>
            <w:r>
              <w:rPr>
                <w:color w:val="000000"/>
                <w:kern w:val="0"/>
                <w:sz w:val="18"/>
                <w:szCs w:val="18"/>
              </w:rPr>
              <w:t>1.</w:t>
            </w:r>
            <w:r>
              <w:rPr>
                <w:rFonts w:hint="eastAsia" w:ascii="黑体" w:hAnsi="黑体" w:eastAsia="黑体"/>
                <w:color w:val="000000"/>
                <w:kern w:val="0"/>
                <w:sz w:val="18"/>
                <w:szCs w:val="18"/>
              </w:rPr>
              <w:t>预算执行率未达到</w:t>
            </w:r>
            <w:r>
              <w:rPr>
                <w:color w:val="000000"/>
                <w:kern w:val="0"/>
                <w:sz w:val="18"/>
                <w:szCs w:val="18"/>
              </w:rPr>
              <w:t>90%</w:t>
            </w:r>
            <w:r>
              <w:rPr>
                <w:rFonts w:hint="eastAsia" w:ascii="黑体" w:hAnsi="黑体" w:eastAsia="黑体"/>
                <w:color w:val="000000"/>
                <w:kern w:val="0"/>
                <w:sz w:val="18"/>
                <w:szCs w:val="18"/>
              </w:rPr>
              <w:t>的主要原因系项目收入系市场行为，无法准确预计。部分项目委托业务合同签订的支付条件与项目收款相关，故执行率偏低。</w:t>
            </w:r>
          </w:p>
          <w:p>
            <w:pPr>
              <w:widowControl/>
              <w:jc w:val="left"/>
              <w:rPr>
                <w:color w:val="000000"/>
                <w:kern w:val="0"/>
                <w:sz w:val="18"/>
                <w:szCs w:val="18"/>
              </w:rPr>
            </w:pPr>
            <w:r>
              <w:rPr>
                <w:color w:val="000000"/>
                <w:kern w:val="0"/>
                <w:sz w:val="18"/>
                <w:szCs w:val="18"/>
              </w:rPr>
              <w:t>2.</w:t>
            </w:r>
            <w:r>
              <w:rPr>
                <w:rFonts w:hint="eastAsia" w:ascii="黑体" w:hAnsi="黑体" w:eastAsia="黑体"/>
                <w:color w:val="000000"/>
                <w:kern w:val="0"/>
                <w:sz w:val="18"/>
                <w:szCs w:val="18"/>
              </w:rPr>
              <w:t>年中发生预算调减的主要原因系</w:t>
            </w:r>
            <w:r>
              <w:rPr>
                <w:color w:val="000000"/>
                <w:kern w:val="0"/>
                <w:sz w:val="18"/>
                <w:szCs w:val="18"/>
              </w:rPr>
              <w:t>,</w:t>
            </w:r>
            <w:r>
              <w:rPr>
                <w:rFonts w:hint="eastAsia" w:ascii="黑体" w:hAnsi="黑体" w:eastAsia="黑体"/>
                <w:color w:val="000000"/>
                <w:kern w:val="0"/>
                <w:sz w:val="18"/>
                <w:szCs w:val="18"/>
              </w:rPr>
              <w:t>根据市场变化，预计收入下降，且进一步加强厉行节约，项目支出得到有效控制。</w:t>
            </w:r>
          </w:p>
        </w:tc>
      </w:tr>
      <w:tr>
        <w:tblPrEx>
          <w:tblCellMar>
            <w:top w:w="0" w:type="dxa"/>
            <w:left w:w="108" w:type="dxa"/>
            <w:bottom w:w="0" w:type="dxa"/>
            <w:right w:w="108" w:type="dxa"/>
          </w:tblCellMar>
        </w:tblPrEx>
        <w:trPr>
          <w:trHeight w:val="450"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其中：财政资金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50"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财政专户管理资金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50"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单位资金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250.00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32.00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24.94</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77.92%</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50"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其他资金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54"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绩效指标（</w:t>
            </w:r>
            <w:r>
              <w:rPr>
                <w:color w:val="000000"/>
                <w:kern w:val="0"/>
                <w:sz w:val="18"/>
                <w:szCs w:val="18"/>
              </w:rPr>
              <w:t>90</w:t>
            </w:r>
            <w:r>
              <w:rPr>
                <w:rFonts w:hint="eastAsia" w:ascii="宋体" w:hAnsi="宋体"/>
                <w:color w:val="000000"/>
                <w:kern w:val="0"/>
                <w:sz w:val="18"/>
                <w:szCs w:val="18"/>
              </w:rPr>
              <w:t>分）</w:t>
            </w: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一级指标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二级指标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三级指标</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指标性质</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指标值</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度量单位</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完成值</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权重</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得分</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产出指标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数量指标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承接项目个数</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个</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6"/>
                <w:szCs w:val="16"/>
              </w:rPr>
            </w:pPr>
            <w:r>
              <w:rPr>
                <w:rFonts w:hint="eastAsia" w:ascii="宋体" w:hAnsi="宋体"/>
                <w:color w:val="000000"/>
                <w:kern w:val="0"/>
                <w:sz w:val="16"/>
                <w:szCs w:val="16"/>
              </w:rPr>
              <w:t>多于</w:t>
            </w:r>
            <w:r>
              <w:rPr>
                <w:color w:val="000000"/>
                <w:kern w:val="0"/>
                <w:sz w:val="16"/>
                <w:szCs w:val="16"/>
              </w:rPr>
              <w:t>2</w:t>
            </w:r>
            <w:r>
              <w:rPr>
                <w:rFonts w:hint="eastAsia" w:ascii="宋体" w:hAnsi="宋体"/>
                <w:color w:val="000000"/>
                <w:kern w:val="0"/>
                <w:sz w:val="16"/>
                <w:szCs w:val="16"/>
              </w:rPr>
              <w:t>个</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20</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成本指标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成本总额</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250</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万元</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6"/>
                <w:szCs w:val="16"/>
              </w:rPr>
            </w:pPr>
            <w:r>
              <w:rPr>
                <w:color w:val="000000"/>
                <w:kern w:val="0"/>
                <w:sz w:val="16"/>
                <w:szCs w:val="16"/>
              </w:rPr>
              <w:t>24.94</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50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50</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1129"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效益指标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社会效益指标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对基础类、完善类、提升类改造项目形成针对性的规划措施及方法。形成</w:t>
            </w:r>
            <w:r>
              <w:rPr>
                <w:color w:val="000000"/>
                <w:kern w:val="0"/>
                <w:sz w:val="18"/>
                <w:szCs w:val="18"/>
              </w:rPr>
              <w:t>2021-2025</w:t>
            </w:r>
            <w:r>
              <w:rPr>
                <w:rFonts w:hint="eastAsia" w:ascii="宋体" w:hAnsi="宋体"/>
                <w:color w:val="000000"/>
                <w:kern w:val="0"/>
                <w:sz w:val="18"/>
                <w:szCs w:val="18"/>
              </w:rPr>
              <w:t>年老旧小区改造项目库</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定性</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优良中低差</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套</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良</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rFonts w:hint="eastAsia"/>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8</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可持续影响指标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对城市发展的可持续影响</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定性</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优良中低差</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套</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良</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rFonts w:hint="eastAsia"/>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8</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285" w:hRule="atLeast"/>
        </w:trPr>
        <w:tc>
          <w:tcPr>
            <w:tcW w:w="10444"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合计</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　</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right"/>
              <w:rPr>
                <w:color w:val="000000"/>
                <w:kern w:val="0"/>
                <w:sz w:val="18"/>
                <w:szCs w:val="18"/>
              </w:rPr>
            </w:pPr>
            <w:r>
              <w:rPr>
                <w:color w:val="000000"/>
                <w:kern w:val="0"/>
                <w:sz w:val="18"/>
                <w:szCs w:val="18"/>
              </w:rPr>
              <w:t>93.8</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　</w:t>
            </w:r>
          </w:p>
        </w:tc>
      </w:tr>
      <w:tr>
        <w:tblPrEx>
          <w:tblCellMar>
            <w:top w:w="0" w:type="dxa"/>
            <w:left w:w="108" w:type="dxa"/>
            <w:bottom w:w="0" w:type="dxa"/>
            <w:right w:w="108" w:type="dxa"/>
          </w:tblCellMar>
        </w:tblPrEx>
        <w:trPr>
          <w:trHeight w:val="604"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评价结论</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6"/>
                <w:szCs w:val="16"/>
              </w:rPr>
            </w:pPr>
            <w:r>
              <w:rPr>
                <w:rFonts w:hint="eastAsia" w:ascii="宋体" w:hAnsi="宋体"/>
                <w:color w:val="000000"/>
                <w:kern w:val="0"/>
                <w:sz w:val="16"/>
                <w:szCs w:val="16"/>
              </w:rPr>
              <w:t>项目自评总分</w:t>
            </w:r>
            <w:r>
              <w:rPr>
                <w:color w:val="000000"/>
                <w:kern w:val="0"/>
                <w:sz w:val="16"/>
                <w:szCs w:val="16"/>
              </w:rPr>
              <w:t>93.8</w:t>
            </w:r>
            <w:r>
              <w:rPr>
                <w:rFonts w:hint="eastAsia" w:ascii="宋体" w:hAnsi="宋体"/>
                <w:color w:val="000000"/>
                <w:kern w:val="0"/>
                <w:sz w:val="16"/>
                <w:szCs w:val="16"/>
              </w:rPr>
              <w:t>分，为地方摸清了老旧小区底数，形成了年度改造计划，申请老旧小区项目改造资金，改善人民生活质量。</w:t>
            </w:r>
          </w:p>
        </w:tc>
      </w:tr>
      <w:tr>
        <w:tblPrEx>
          <w:tblCellMar>
            <w:top w:w="0" w:type="dxa"/>
            <w:left w:w="108" w:type="dxa"/>
            <w:bottom w:w="0" w:type="dxa"/>
            <w:right w:w="108" w:type="dxa"/>
          </w:tblCellMar>
        </w:tblPrEx>
        <w:trPr>
          <w:trHeight w:val="574"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存在问题</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1.老旧小区改造主要依托国家资金，社会资金的引入较差。</w:t>
            </w:r>
          </w:p>
          <w:p>
            <w:pPr>
              <w:widowControl/>
              <w:jc w:val="left"/>
              <w:rPr>
                <w:rFonts w:ascii="宋体" w:hAnsi="宋体" w:cs="宋体"/>
                <w:color w:val="000000"/>
                <w:kern w:val="0"/>
                <w:sz w:val="16"/>
                <w:szCs w:val="16"/>
              </w:rPr>
            </w:pPr>
            <w:r>
              <w:rPr>
                <w:rFonts w:hint="eastAsia" w:ascii="宋体" w:hAnsi="宋体" w:cs="宋体"/>
                <w:color w:val="000000"/>
                <w:kern w:val="0"/>
                <w:sz w:val="16"/>
                <w:szCs w:val="16"/>
              </w:rPr>
              <w:t>2.预算编制合理性不足，对市场判断不充分，导致中期调整后仍然执行率较低。</w:t>
            </w:r>
          </w:p>
        </w:tc>
      </w:tr>
      <w:tr>
        <w:tblPrEx>
          <w:tblCellMar>
            <w:top w:w="0" w:type="dxa"/>
            <w:left w:w="108" w:type="dxa"/>
            <w:bottom w:w="0" w:type="dxa"/>
            <w:right w:w="108" w:type="dxa"/>
          </w:tblCellMar>
        </w:tblPrEx>
        <w:trPr>
          <w:trHeight w:val="634"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color w:val="000000"/>
                <w:kern w:val="0"/>
                <w:sz w:val="18"/>
                <w:szCs w:val="18"/>
              </w:rPr>
            </w:pPr>
            <w:r>
              <w:rPr>
                <w:rFonts w:hint="eastAsia" w:ascii="宋体" w:hAnsi="宋体"/>
                <w:color w:val="000000"/>
                <w:kern w:val="0"/>
                <w:sz w:val="18"/>
                <w:szCs w:val="18"/>
              </w:rPr>
              <w:t>改进措施</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olor w:val="000000"/>
                <w:kern w:val="0"/>
                <w:sz w:val="16"/>
                <w:szCs w:val="16"/>
                <w:lang w:eastAsia="zh-CN"/>
              </w:rPr>
            </w:pPr>
            <w:r>
              <w:rPr>
                <w:color w:val="000000"/>
                <w:kern w:val="0"/>
                <w:sz w:val="16"/>
                <w:szCs w:val="16"/>
              </w:rPr>
              <w:t>1.</w:t>
            </w:r>
            <w:r>
              <w:rPr>
                <w:rFonts w:hint="eastAsia" w:ascii="宋体" w:hAnsi="宋体"/>
                <w:color w:val="000000"/>
                <w:kern w:val="0"/>
                <w:sz w:val="16"/>
                <w:szCs w:val="16"/>
              </w:rPr>
              <w:t>应提出相关资金筹措的建议，确保高质量完成老旧小区改造任务。</w:t>
            </w:r>
          </w:p>
          <w:p>
            <w:pPr>
              <w:widowControl/>
              <w:jc w:val="left"/>
              <w:rPr>
                <w:color w:val="000000"/>
                <w:kern w:val="0"/>
                <w:sz w:val="16"/>
                <w:szCs w:val="16"/>
              </w:rPr>
            </w:pPr>
            <w:r>
              <w:rPr>
                <w:color w:val="000000"/>
                <w:kern w:val="0"/>
                <w:sz w:val="16"/>
                <w:szCs w:val="16"/>
              </w:rPr>
              <w:t>2.</w:t>
            </w:r>
            <w:r>
              <w:rPr>
                <w:rFonts w:hint="eastAsia" w:ascii="宋体" w:hAnsi="宋体"/>
                <w:color w:val="000000"/>
                <w:kern w:val="0"/>
                <w:sz w:val="16"/>
                <w:szCs w:val="16"/>
              </w:rPr>
              <w:t>在年度预算执行过程中，及时督促项目实现实施进度与使用资金匹配，加强对市场的预判，及时进行预算调整，充分发挥资金的效益。</w:t>
            </w:r>
          </w:p>
        </w:tc>
      </w:tr>
      <w:tr>
        <w:tblPrEx>
          <w:tblCellMar>
            <w:top w:w="0" w:type="dxa"/>
            <w:left w:w="108" w:type="dxa"/>
            <w:bottom w:w="0" w:type="dxa"/>
            <w:right w:w="108" w:type="dxa"/>
          </w:tblCellMar>
        </w:tblPrEx>
        <w:trPr>
          <w:trHeight w:val="285" w:hRule="atLeast"/>
        </w:trPr>
        <w:tc>
          <w:tcPr>
            <w:tcW w:w="7320"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黑体" w:hAnsi="黑体" w:eastAsia="黑体"/>
                <w:color w:val="000000"/>
                <w:kern w:val="0"/>
                <w:sz w:val="18"/>
                <w:szCs w:val="18"/>
              </w:rPr>
            </w:pPr>
            <w:r>
              <w:rPr>
                <w:rFonts w:hint="eastAsia" w:ascii="黑体" w:hAnsi="黑体" w:eastAsia="黑体"/>
                <w:color w:val="000000"/>
                <w:sz w:val="18"/>
                <w:szCs w:val="18"/>
              </w:rPr>
              <w:t>项目负责人：陈俊松</w:t>
            </w:r>
          </w:p>
        </w:tc>
        <w:tc>
          <w:tcPr>
            <w:tcW w:w="6660" w:type="dxa"/>
            <w:gridSpan w:val="6"/>
            <w:tcBorders>
              <w:top w:val="single" w:color="000000" w:sz="4" w:space="0"/>
              <w:left w:val="nil"/>
              <w:bottom w:val="single" w:color="000000" w:sz="4" w:space="0"/>
              <w:right w:val="single" w:color="000000" w:sz="4" w:space="0"/>
            </w:tcBorders>
            <w:shd w:val="clear" w:color="auto" w:fill="auto"/>
            <w:noWrap w:val="0"/>
            <w:vAlign w:val="center"/>
          </w:tcPr>
          <w:p>
            <w:pPr>
              <w:rPr>
                <w:rFonts w:hint="eastAsia" w:ascii="黑体" w:hAnsi="黑体" w:eastAsia="黑体"/>
                <w:color w:val="000000"/>
                <w:sz w:val="18"/>
                <w:szCs w:val="18"/>
              </w:rPr>
            </w:pPr>
            <w:r>
              <w:rPr>
                <w:rFonts w:hint="eastAsia" w:ascii="黑体" w:hAnsi="黑体" w:eastAsia="黑体"/>
                <w:color w:val="000000"/>
                <w:sz w:val="18"/>
                <w:szCs w:val="18"/>
              </w:rPr>
              <w:t>财务负责人：杨猛</w:t>
            </w:r>
          </w:p>
        </w:tc>
      </w:tr>
      <w:tr>
        <w:tblPrEx>
          <w:tblCellMar>
            <w:top w:w="0" w:type="dxa"/>
            <w:left w:w="108" w:type="dxa"/>
            <w:bottom w:w="0" w:type="dxa"/>
            <w:right w:w="108" w:type="dxa"/>
          </w:tblCellMar>
        </w:tblPrEx>
        <w:trPr>
          <w:trHeight w:val="285" w:hRule="atLeast"/>
        </w:trPr>
        <w:tc>
          <w:tcPr>
            <w:tcW w:w="829" w:type="dxa"/>
            <w:tcBorders>
              <w:top w:val="nil"/>
              <w:left w:val="nil"/>
              <w:bottom w:val="nil"/>
              <w:right w:val="nil"/>
            </w:tcBorders>
            <w:shd w:val="clear" w:color="auto" w:fill="auto"/>
            <w:noWrap w:val="0"/>
            <w:vAlign w:val="center"/>
          </w:tcPr>
          <w:p>
            <w:pPr>
              <w:widowControl/>
              <w:jc w:val="left"/>
              <w:rPr>
                <w:color w:val="000000"/>
                <w:kern w:val="0"/>
                <w:sz w:val="18"/>
                <w:szCs w:val="18"/>
              </w:rPr>
            </w:pPr>
          </w:p>
        </w:tc>
        <w:tc>
          <w:tcPr>
            <w:tcW w:w="1690"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73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220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1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628" w:type="dxa"/>
            <w:gridSpan w:val="2"/>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756"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089"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1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31"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2491"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04" w:hRule="atLeast"/>
        </w:trPr>
        <w:tc>
          <w:tcPr>
            <w:tcW w:w="13980"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b/>
                <w:bCs/>
                <w:color w:val="000000"/>
                <w:kern w:val="0"/>
                <w:sz w:val="30"/>
                <w:szCs w:val="30"/>
              </w:rPr>
            </w:pPr>
            <w:r>
              <w:rPr>
                <w:rFonts w:hint="eastAsia" w:ascii="黑体" w:hAnsi="黑体" w:eastAsia="黑体"/>
                <w:b/>
                <w:bCs/>
                <w:color w:val="000000"/>
                <w:kern w:val="0"/>
                <w:sz w:val="30"/>
                <w:szCs w:val="30"/>
              </w:rPr>
              <w:t>部门预算项目支出绩效自评表（</w:t>
            </w:r>
            <w:r>
              <w:rPr>
                <w:b/>
                <w:bCs/>
                <w:color w:val="000000"/>
                <w:kern w:val="0"/>
                <w:sz w:val="30"/>
                <w:szCs w:val="30"/>
              </w:rPr>
              <w:t>2022</w:t>
            </w:r>
            <w:r>
              <w:rPr>
                <w:rFonts w:hint="eastAsia" w:ascii="黑体" w:hAnsi="黑体" w:eastAsia="黑体"/>
                <w:b/>
                <w:bCs/>
                <w:color w:val="000000"/>
                <w:kern w:val="0"/>
                <w:sz w:val="30"/>
                <w:szCs w:val="30"/>
              </w:rPr>
              <w:t>年度）</w:t>
            </w:r>
          </w:p>
        </w:tc>
      </w:tr>
      <w:tr>
        <w:tblPrEx>
          <w:tblCellMar>
            <w:top w:w="0" w:type="dxa"/>
            <w:left w:w="108" w:type="dxa"/>
            <w:bottom w:w="0" w:type="dxa"/>
            <w:right w:w="108" w:type="dxa"/>
          </w:tblCellMar>
        </w:tblPrEx>
        <w:trPr>
          <w:trHeight w:val="285"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项目名称</w:t>
            </w:r>
          </w:p>
        </w:tc>
        <w:tc>
          <w:tcPr>
            <w:tcW w:w="11461" w:type="dxa"/>
            <w:gridSpan w:val="10"/>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51000022T000000249698-</w:t>
            </w:r>
            <w:r>
              <w:rPr>
                <w:rFonts w:hint="eastAsia" w:ascii="宋体" w:hAnsi="宋体"/>
                <w:color w:val="000000"/>
                <w:kern w:val="0"/>
                <w:sz w:val="18"/>
                <w:szCs w:val="18"/>
              </w:rPr>
              <w:t>历史街区建筑保护技术咨询等项目</w:t>
            </w:r>
          </w:p>
        </w:tc>
      </w:tr>
      <w:tr>
        <w:tblPrEx>
          <w:tblCellMar>
            <w:top w:w="0" w:type="dxa"/>
            <w:left w:w="108" w:type="dxa"/>
            <w:bottom w:w="0" w:type="dxa"/>
            <w:right w:w="108" w:type="dxa"/>
          </w:tblCellMar>
        </w:tblPrEx>
        <w:trPr>
          <w:trHeight w:val="514"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主管部门</w:t>
            </w: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四川省住房和城乡建设厅部门</w:t>
            </w:r>
          </w:p>
        </w:tc>
        <w:tc>
          <w:tcPr>
            <w:tcW w:w="1089" w:type="dxa"/>
            <w:tcBorders>
              <w:top w:val="nil"/>
              <w:left w:val="nil"/>
              <w:bottom w:val="nil"/>
              <w:right w:val="nil"/>
            </w:tcBorders>
            <w:shd w:val="clear" w:color="auto" w:fill="auto"/>
            <w:noWrap w:val="0"/>
            <w:vAlign w:val="center"/>
          </w:tcPr>
          <w:p>
            <w:pPr>
              <w:widowControl/>
              <w:jc w:val="left"/>
              <w:rPr>
                <w:color w:val="000000"/>
                <w:kern w:val="0"/>
                <w:sz w:val="18"/>
                <w:szCs w:val="18"/>
              </w:rPr>
            </w:pPr>
            <w:r>
              <w:rPr>
                <w:rFonts w:hint="eastAsia" w:ascii="黑体" w:hAnsi="黑体" w:eastAsia="黑体"/>
                <w:color w:val="000000"/>
                <w:kern w:val="0"/>
                <w:sz w:val="18"/>
                <w:szCs w:val="18"/>
              </w:rPr>
              <w:t>实施单位</w:t>
            </w:r>
            <w:r>
              <w:rPr>
                <w:color w:val="000000"/>
                <w:kern w:val="0"/>
                <w:sz w:val="18"/>
                <w:szCs w:val="18"/>
              </w:rPr>
              <w:t xml:space="preserve"> </w:t>
            </w:r>
            <w:r>
              <w:rPr>
                <w:rFonts w:hint="eastAsia" w:ascii="黑体" w:hAnsi="黑体" w:eastAsia="黑体"/>
                <w:color w:val="000000"/>
                <w:kern w:val="0"/>
                <w:sz w:val="18"/>
                <w:szCs w:val="18"/>
              </w:rPr>
              <w:t>（盖章）</w:t>
            </w:r>
          </w:p>
        </w:tc>
        <w:tc>
          <w:tcPr>
            <w:tcW w:w="353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四川省城乡建设研究院</w:t>
            </w:r>
          </w:p>
        </w:tc>
      </w:tr>
      <w:tr>
        <w:tblPrEx>
          <w:tblCellMar>
            <w:top w:w="0" w:type="dxa"/>
            <w:left w:w="108" w:type="dxa"/>
            <w:bottom w:w="0" w:type="dxa"/>
            <w:right w:w="108" w:type="dxa"/>
          </w:tblCellMar>
        </w:tblPrEx>
        <w:trPr>
          <w:trHeight w:val="285"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项目基本情况</w:t>
            </w:r>
          </w:p>
        </w:tc>
        <w:tc>
          <w:tcPr>
            <w:tcW w:w="169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1.</w:t>
            </w:r>
            <w:r>
              <w:rPr>
                <w:rFonts w:hint="eastAsia" w:ascii="宋体" w:hAnsi="宋体"/>
                <w:color w:val="000000"/>
                <w:kern w:val="0"/>
                <w:sz w:val="18"/>
                <w:szCs w:val="18"/>
              </w:rPr>
              <w:t>项目年度目标完成情况</w:t>
            </w: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项目年度目标</w:t>
            </w:r>
          </w:p>
        </w:tc>
        <w:tc>
          <w:tcPr>
            <w:tcW w:w="4625"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黑体" w:hAnsi="黑体" w:eastAsia="黑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根据院职能范围以及</w:t>
            </w:r>
            <w:r>
              <w:rPr>
                <w:color w:val="000000"/>
                <w:kern w:val="0"/>
                <w:sz w:val="18"/>
                <w:szCs w:val="18"/>
              </w:rPr>
              <w:t>2022</w:t>
            </w:r>
            <w:r>
              <w:rPr>
                <w:rFonts w:hint="eastAsia" w:ascii="宋体" w:hAnsi="宋体"/>
                <w:color w:val="000000"/>
                <w:kern w:val="0"/>
                <w:sz w:val="18"/>
                <w:szCs w:val="18"/>
              </w:rPr>
              <w:t>年相关技术成果转化的预计经营情况，完成地方历史街区建筑现状调研，协助地方完成历史街区建筑分类研究，形成历史街区建筑保护技术等。</w:t>
            </w:r>
          </w:p>
        </w:tc>
        <w:tc>
          <w:tcPr>
            <w:tcW w:w="4625"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根据年度目标，完成了内江历史建筑保护图则建档及保护修缮方案设计和叙永县历史建筑测绘建档项目。</w:t>
            </w:r>
          </w:p>
        </w:tc>
      </w:tr>
      <w:tr>
        <w:tblPrEx>
          <w:tblCellMar>
            <w:top w:w="0" w:type="dxa"/>
            <w:left w:w="108" w:type="dxa"/>
            <w:bottom w:w="0" w:type="dxa"/>
            <w:right w:w="108" w:type="dxa"/>
          </w:tblCellMar>
        </w:tblPrEx>
        <w:trPr>
          <w:trHeight w:val="694"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left"/>
              <w:rPr>
                <w:rFonts w:hint="eastAsia"/>
                <w:color w:val="000000"/>
                <w:kern w:val="0"/>
                <w:sz w:val="18"/>
                <w:szCs w:val="18"/>
              </w:rPr>
            </w:pPr>
            <w:r>
              <w:rPr>
                <w:color w:val="000000"/>
                <w:kern w:val="0"/>
                <w:sz w:val="18"/>
                <w:szCs w:val="18"/>
              </w:rPr>
              <w:t>2.</w:t>
            </w:r>
            <w:r>
              <w:rPr>
                <w:rFonts w:hint="eastAsia" w:ascii="宋体" w:hAnsi="宋体"/>
                <w:color w:val="000000"/>
                <w:kern w:val="0"/>
                <w:sz w:val="18"/>
                <w:szCs w:val="18"/>
              </w:rPr>
              <w:t>项目实施内容及过程概述</w:t>
            </w:r>
          </w:p>
        </w:tc>
        <w:tc>
          <w:tcPr>
            <w:tcW w:w="11461" w:type="dxa"/>
            <w:gridSpan w:val="10"/>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　</w:t>
            </w:r>
          </w:p>
        </w:tc>
      </w:tr>
      <w:tr>
        <w:tblPrEx>
          <w:tblCellMar>
            <w:top w:w="0" w:type="dxa"/>
            <w:left w:w="108" w:type="dxa"/>
            <w:bottom w:w="0" w:type="dxa"/>
            <w:right w:w="108" w:type="dxa"/>
          </w:tblCellMar>
        </w:tblPrEx>
        <w:trPr>
          <w:trHeight w:val="360"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预算执行情况（</w:t>
            </w:r>
            <w:r>
              <w:rPr>
                <w:color w:val="000000"/>
                <w:kern w:val="0"/>
                <w:sz w:val="18"/>
                <w:szCs w:val="18"/>
              </w:rPr>
              <w:t>10</w:t>
            </w:r>
            <w:r>
              <w:rPr>
                <w:rFonts w:hint="eastAsia" w:ascii="宋体" w:hAnsi="宋体"/>
                <w:color w:val="000000"/>
                <w:kern w:val="0"/>
                <w:sz w:val="18"/>
                <w:szCs w:val="18"/>
              </w:rPr>
              <w:t>分）</w:t>
            </w: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年度预算数（万元）</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年初预算</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调整后预算数</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预算执行数</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预算执行率</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权重</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得分</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原因</w:t>
            </w:r>
          </w:p>
        </w:tc>
      </w:tr>
      <w:tr>
        <w:tblPrEx>
          <w:tblCellMar>
            <w:top w:w="0" w:type="dxa"/>
            <w:left w:w="108" w:type="dxa"/>
            <w:bottom w:w="0" w:type="dxa"/>
            <w:right w:w="108" w:type="dxa"/>
          </w:tblCellMar>
        </w:tblPrEx>
        <w:trPr>
          <w:trHeight w:val="480"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总额</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72.00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46.00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39.44</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85.74%</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8.6</w:t>
            </w:r>
          </w:p>
        </w:tc>
        <w:tc>
          <w:tcPr>
            <w:tcW w:w="2491"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黑体" w:hAnsi="黑体" w:eastAsia="黑体"/>
                <w:color w:val="000000"/>
                <w:kern w:val="0"/>
                <w:sz w:val="18"/>
                <w:szCs w:val="18"/>
                <w:lang w:eastAsia="zh-CN"/>
              </w:rPr>
            </w:pPr>
            <w:r>
              <w:rPr>
                <w:color w:val="000000"/>
                <w:kern w:val="0"/>
                <w:sz w:val="18"/>
                <w:szCs w:val="18"/>
              </w:rPr>
              <w:t>1.</w:t>
            </w:r>
            <w:r>
              <w:rPr>
                <w:rFonts w:hint="eastAsia" w:ascii="黑体" w:hAnsi="黑体" w:eastAsia="黑体"/>
                <w:color w:val="000000"/>
                <w:kern w:val="0"/>
                <w:sz w:val="18"/>
                <w:szCs w:val="18"/>
              </w:rPr>
              <w:t>预算执行率未达到</w:t>
            </w:r>
            <w:r>
              <w:rPr>
                <w:color w:val="000000"/>
                <w:kern w:val="0"/>
                <w:sz w:val="18"/>
                <w:szCs w:val="18"/>
              </w:rPr>
              <w:t>90%</w:t>
            </w:r>
            <w:r>
              <w:rPr>
                <w:rFonts w:hint="eastAsia" w:ascii="黑体" w:hAnsi="黑体" w:eastAsia="黑体"/>
                <w:color w:val="000000"/>
                <w:kern w:val="0"/>
                <w:sz w:val="18"/>
                <w:szCs w:val="18"/>
              </w:rPr>
              <w:t>的主要原因系项目收入系市场行为，无法准确预计。部分项目委托业务合同签订的支付条件与项目收款相关，故执行率偏低。</w:t>
            </w:r>
          </w:p>
          <w:p>
            <w:pPr>
              <w:widowControl/>
              <w:jc w:val="left"/>
              <w:rPr>
                <w:color w:val="000000"/>
                <w:kern w:val="0"/>
                <w:sz w:val="18"/>
                <w:szCs w:val="18"/>
              </w:rPr>
            </w:pPr>
            <w:r>
              <w:rPr>
                <w:color w:val="000000"/>
                <w:kern w:val="0"/>
                <w:sz w:val="18"/>
                <w:szCs w:val="18"/>
              </w:rPr>
              <w:t>2.</w:t>
            </w:r>
            <w:r>
              <w:rPr>
                <w:rFonts w:hint="eastAsia" w:ascii="黑体" w:hAnsi="黑体" w:eastAsia="黑体"/>
                <w:color w:val="000000"/>
                <w:kern w:val="0"/>
                <w:sz w:val="18"/>
                <w:szCs w:val="18"/>
              </w:rPr>
              <w:t>年中发生预算调减的主要原因系</w:t>
            </w:r>
            <w:r>
              <w:rPr>
                <w:color w:val="000000"/>
                <w:kern w:val="0"/>
                <w:sz w:val="18"/>
                <w:szCs w:val="18"/>
              </w:rPr>
              <w:t>,</w:t>
            </w:r>
            <w:r>
              <w:rPr>
                <w:rFonts w:hint="eastAsia" w:ascii="黑体" w:hAnsi="黑体" w:eastAsia="黑体"/>
                <w:color w:val="000000"/>
                <w:kern w:val="0"/>
                <w:sz w:val="18"/>
                <w:szCs w:val="18"/>
              </w:rPr>
              <w:t>根据市场变化，预计收入下降，且进一步加强厉行节约，项目支出得到有效控制。</w:t>
            </w:r>
          </w:p>
        </w:tc>
      </w:tr>
      <w:tr>
        <w:tblPrEx>
          <w:tblCellMar>
            <w:top w:w="0" w:type="dxa"/>
            <w:left w:w="108" w:type="dxa"/>
            <w:bottom w:w="0" w:type="dxa"/>
            <w:right w:w="108" w:type="dxa"/>
          </w:tblCellMar>
        </w:tblPrEx>
        <w:trPr>
          <w:trHeight w:val="480"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其中：财政资金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80"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财政专户管理资金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80"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单位资金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72.00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46.00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39.44</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85.74%</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80"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其他资金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54"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绩效指标（</w:t>
            </w:r>
            <w:r>
              <w:rPr>
                <w:color w:val="000000"/>
                <w:kern w:val="0"/>
                <w:sz w:val="18"/>
                <w:szCs w:val="18"/>
              </w:rPr>
              <w:t>90</w:t>
            </w:r>
            <w:r>
              <w:rPr>
                <w:rFonts w:hint="eastAsia" w:ascii="宋体" w:hAnsi="宋体"/>
                <w:color w:val="000000"/>
                <w:kern w:val="0"/>
                <w:sz w:val="18"/>
                <w:szCs w:val="18"/>
              </w:rPr>
              <w:t>分）</w:t>
            </w: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一级指标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二级指标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三级指标</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指标性质</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指标值</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度量单位</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完成值</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权重</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得分</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产出指标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数量指标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项目数量</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个</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6"/>
                <w:szCs w:val="16"/>
              </w:rPr>
            </w:pPr>
            <w:r>
              <w:rPr>
                <w:rFonts w:hint="eastAsia" w:ascii="宋体" w:hAnsi="宋体"/>
                <w:color w:val="000000"/>
                <w:kern w:val="0"/>
                <w:sz w:val="16"/>
                <w:szCs w:val="16"/>
              </w:rPr>
              <w:t>多于</w:t>
            </w:r>
            <w:r>
              <w:rPr>
                <w:color w:val="000000"/>
                <w:kern w:val="0"/>
                <w:sz w:val="16"/>
                <w:szCs w:val="16"/>
              </w:rPr>
              <w:t>2</w:t>
            </w:r>
            <w:r>
              <w:rPr>
                <w:rFonts w:hint="eastAsia" w:ascii="宋体" w:hAnsi="宋体"/>
                <w:color w:val="000000"/>
                <w:kern w:val="0"/>
                <w:sz w:val="16"/>
                <w:szCs w:val="16"/>
              </w:rPr>
              <w:t>个</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20</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成本指标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项目总成本</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72</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万元</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6"/>
                <w:szCs w:val="16"/>
              </w:rPr>
            </w:pPr>
            <w:r>
              <w:rPr>
                <w:color w:val="000000"/>
                <w:kern w:val="0"/>
                <w:sz w:val="16"/>
                <w:szCs w:val="16"/>
              </w:rPr>
              <w:t>39.44</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50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50</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效益指标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社会效益指标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城乡建设环境及生态等</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定性</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优良中低差</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　</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良</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rFonts w:hint="eastAsia"/>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8</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454"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满意度指标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服务对象满意度指标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甲方满意度</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定性</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优良中低差</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　</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良</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rFonts w:hint="eastAsia"/>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8</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285" w:hRule="atLeast"/>
        </w:trPr>
        <w:tc>
          <w:tcPr>
            <w:tcW w:w="10444"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合计</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　</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right"/>
              <w:rPr>
                <w:color w:val="000000"/>
                <w:kern w:val="0"/>
                <w:sz w:val="18"/>
                <w:szCs w:val="18"/>
              </w:rPr>
            </w:pPr>
            <w:r>
              <w:rPr>
                <w:color w:val="000000"/>
                <w:kern w:val="0"/>
                <w:sz w:val="18"/>
                <w:szCs w:val="18"/>
              </w:rPr>
              <w:t>94.6</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　</w:t>
            </w:r>
          </w:p>
        </w:tc>
      </w:tr>
      <w:tr>
        <w:tblPrEx>
          <w:tblCellMar>
            <w:top w:w="0" w:type="dxa"/>
            <w:left w:w="108" w:type="dxa"/>
            <w:bottom w:w="0" w:type="dxa"/>
            <w:right w:w="108" w:type="dxa"/>
          </w:tblCellMar>
        </w:tblPrEx>
        <w:trPr>
          <w:trHeight w:val="604"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评价结论</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6"/>
                <w:szCs w:val="16"/>
              </w:rPr>
            </w:pPr>
            <w:r>
              <w:rPr>
                <w:rFonts w:hint="eastAsia" w:ascii="宋体" w:hAnsi="宋体"/>
                <w:color w:val="000000"/>
                <w:kern w:val="0"/>
                <w:sz w:val="16"/>
                <w:szCs w:val="16"/>
              </w:rPr>
              <w:t>项目自评总分</w:t>
            </w:r>
            <w:r>
              <w:rPr>
                <w:color w:val="000000"/>
                <w:kern w:val="0"/>
                <w:sz w:val="16"/>
                <w:szCs w:val="16"/>
              </w:rPr>
              <w:t>94.6</w:t>
            </w:r>
            <w:r>
              <w:rPr>
                <w:rFonts w:hint="eastAsia" w:ascii="宋体" w:hAnsi="宋体"/>
                <w:color w:val="000000"/>
                <w:kern w:val="0"/>
                <w:sz w:val="16"/>
                <w:szCs w:val="16"/>
              </w:rPr>
              <w:t>分，为各地厘清历史文化资源、建立保护清单、推进保护修缮和活化利用起到积极推动作用。</w:t>
            </w:r>
          </w:p>
        </w:tc>
      </w:tr>
      <w:tr>
        <w:tblPrEx>
          <w:tblCellMar>
            <w:top w:w="0" w:type="dxa"/>
            <w:left w:w="108" w:type="dxa"/>
            <w:bottom w:w="0" w:type="dxa"/>
            <w:right w:w="108" w:type="dxa"/>
          </w:tblCellMar>
        </w:tblPrEx>
        <w:trPr>
          <w:trHeight w:val="574"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存在问题</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olor w:val="000000"/>
                <w:kern w:val="0"/>
                <w:sz w:val="16"/>
                <w:szCs w:val="16"/>
                <w:lang w:eastAsia="zh-CN"/>
              </w:rPr>
            </w:pPr>
            <w:r>
              <w:rPr>
                <w:color w:val="000000"/>
                <w:kern w:val="0"/>
                <w:sz w:val="16"/>
                <w:szCs w:val="16"/>
              </w:rPr>
              <w:t>1.</w:t>
            </w:r>
            <w:r>
              <w:rPr>
                <w:rFonts w:hint="eastAsia" w:ascii="宋体" w:hAnsi="宋体"/>
                <w:color w:val="000000"/>
                <w:kern w:val="0"/>
                <w:sz w:val="16"/>
                <w:szCs w:val="16"/>
              </w:rPr>
              <w:t>项目普遍存在分布偏远、史料考据困难、内容浩繁、工作量巨大等特点，面临技术力量不足、工期较长、研究有待深入等问题。</w:t>
            </w:r>
          </w:p>
          <w:p>
            <w:pPr>
              <w:widowControl/>
              <w:jc w:val="left"/>
              <w:rPr>
                <w:color w:val="000000"/>
                <w:kern w:val="0"/>
                <w:sz w:val="16"/>
                <w:szCs w:val="16"/>
              </w:rPr>
            </w:pPr>
            <w:r>
              <w:rPr>
                <w:color w:val="000000"/>
                <w:kern w:val="0"/>
                <w:sz w:val="16"/>
                <w:szCs w:val="16"/>
              </w:rPr>
              <w:t>2.</w:t>
            </w:r>
            <w:r>
              <w:rPr>
                <w:rFonts w:hint="eastAsia" w:ascii="宋体" w:hAnsi="宋体"/>
                <w:color w:val="000000"/>
                <w:kern w:val="0"/>
                <w:sz w:val="16"/>
                <w:szCs w:val="16"/>
              </w:rPr>
              <w:t>预算编制合理性不足，对市场判断不充分，导致中期调整后仍然执行率较低。</w:t>
            </w:r>
          </w:p>
        </w:tc>
      </w:tr>
      <w:tr>
        <w:tblPrEx>
          <w:tblCellMar>
            <w:top w:w="0" w:type="dxa"/>
            <w:left w:w="108" w:type="dxa"/>
            <w:bottom w:w="0" w:type="dxa"/>
            <w:right w:w="108" w:type="dxa"/>
          </w:tblCellMar>
        </w:tblPrEx>
        <w:trPr>
          <w:trHeight w:val="634"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改进措施</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olor w:val="000000"/>
                <w:kern w:val="0"/>
                <w:sz w:val="16"/>
                <w:szCs w:val="16"/>
                <w:lang w:eastAsia="zh-CN"/>
              </w:rPr>
            </w:pPr>
            <w:r>
              <w:rPr>
                <w:color w:val="000000"/>
                <w:kern w:val="0"/>
                <w:sz w:val="16"/>
                <w:szCs w:val="16"/>
              </w:rPr>
              <w:t>1.</w:t>
            </w:r>
            <w:r>
              <w:rPr>
                <w:rFonts w:hint="eastAsia" w:ascii="宋体" w:hAnsi="宋体"/>
                <w:color w:val="000000"/>
                <w:kern w:val="0"/>
                <w:sz w:val="16"/>
                <w:szCs w:val="16"/>
              </w:rPr>
              <w:t>建议该类项目的开展应制定长远计划、分期分批逐步实施。</w:t>
            </w:r>
          </w:p>
          <w:p>
            <w:pPr>
              <w:widowControl/>
              <w:jc w:val="left"/>
              <w:rPr>
                <w:color w:val="000000"/>
                <w:kern w:val="0"/>
                <w:sz w:val="16"/>
                <w:szCs w:val="16"/>
              </w:rPr>
            </w:pPr>
            <w:r>
              <w:rPr>
                <w:color w:val="000000"/>
                <w:kern w:val="0"/>
                <w:sz w:val="16"/>
                <w:szCs w:val="16"/>
              </w:rPr>
              <w:t>2.</w:t>
            </w:r>
            <w:r>
              <w:rPr>
                <w:rFonts w:hint="eastAsia" w:ascii="宋体" w:hAnsi="宋体"/>
                <w:color w:val="000000"/>
                <w:kern w:val="0"/>
                <w:sz w:val="16"/>
                <w:szCs w:val="16"/>
              </w:rPr>
              <w:t>在年度预算执行过程中，及时督促项目实现实施进度与使用资金匹配，加强对市场的预判，及时进行预算调整，充分发挥资金的效益。</w:t>
            </w:r>
          </w:p>
        </w:tc>
      </w:tr>
      <w:tr>
        <w:tblPrEx>
          <w:tblCellMar>
            <w:top w:w="0" w:type="dxa"/>
            <w:left w:w="108" w:type="dxa"/>
            <w:bottom w:w="0" w:type="dxa"/>
            <w:right w:w="108" w:type="dxa"/>
          </w:tblCellMar>
        </w:tblPrEx>
        <w:trPr>
          <w:trHeight w:val="285" w:hRule="atLeast"/>
        </w:trPr>
        <w:tc>
          <w:tcPr>
            <w:tcW w:w="7320"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黑体" w:hAnsi="黑体" w:eastAsia="黑体"/>
                <w:color w:val="000000"/>
                <w:kern w:val="0"/>
                <w:sz w:val="18"/>
                <w:szCs w:val="18"/>
              </w:rPr>
            </w:pPr>
            <w:r>
              <w:rPr>
                <w:rFonts w:hint="eastAsia" w:ascii="黑体" w:hAnsi="黑体" w:eastAsia="黑体"/>
                <w:color w:val="000000"/>
                <w:sz w:val="18"/>
                <w:szCs w:val="18"/>
              </w:rPr>
              <w:t>项目负责人：罗晖</w:t>
            </w:r>
          </w:p>
        </w:tc>
        <w:tc>
          <w:tcPr>
            <w:tcW w:w="6660" w:type="dxa"/>
            <w:gridSpan w:val="6"/>
            <w:tcBorders>
              <w:top w:val="single" w:color="000000" w:sz="4" w:space="0"/>
              <w:left w:val="nil"/>
              <w:bottom w:val="single" w:color="000000" w:sz="4" w:space="0"/>
              <w:right w:val="single" w:color="000000" w:sz="4" w:space="0"/>
            </w:tcBorders>
            <w:shd w:val="clear" w:color="auto" w:fill="auto"/>
            <w:noWrap w:val="0"/>
            <w:vAlign w:val="center"/>
          </w:tcPr>
          <w:p>
            <w:pPr>
              <w:rPr>
                <w:rFonts w:hint="eastAsia" w:ascii="黑体" w:hAnsi="黑体" w:eastAsia="黑体"/>
                <w:color w:val="000000"/>
                <w:sz w:val="18"/>
                <w:szCs w:val="18"/>
              </w:rPr>
            </w:pPr>
            <w:r>
              <w:rPr>
                <w:rFonts w:hint="eastAsia" w:ascii="黑体" w:hAnsi="黑体" w:eastAsia="黑体"/>
                <w:color w:val="000000"/>
                <w:sz w:val="18"/>
                <w:szCs w:val="18"/>
              </w:rPr>
              <w:t>财务负责人：杨猛</w:t>
            </w:r>
          </w:p>
        </w:tc>
      </w:tr>
      <w:tr>
        <w:tblPrEx>
          <w:tblCellMar>
            <w:top w:w="0" w:type="dxa"/>
            <w:left w:w="108" w:type="dxa"/>
            <w:bottom w:w="0" w:type="dxa"/>
            <w:right w:w="108" w:type="dxa"/>
          </w:tblCellMar>
        </w:tblPrEx>
        <w:trPr>
          <w:trHeight w:val="285" w:hRule="atLeast"/>
        </w:trPr>
        <w:tc>
          <w:tcPr>
            <w:tcW w:w="829" w:type="dxa"/>
            <w:tcBorders>
              <w:top w:val="nil"/>
              <w:left w:val="nil"/>
              <w:bottom w:val="nil"/>
              <w:right w:val="nil"/>
            </w:tcBorders>
            <w:shd w:val="clear" w:color="auto" w:fill="auto"/>
            <w:noWrap w:val="0"/>
            <w:vAlign w:val="center"/>
          </w:tcPr>
          <w:p>
            <w:pPr>
              <w:widowControl/>
              <w:jc w:val="left"/>
              <w:rPr>
                <w:color w:val="000000"/>
                <w:kern w:val="0"/>
                <w:sz w:val="18"/>
                <w:szCs w:val="18"/>
              </w:rPr>
            </w:pPr>
          </w:p>
        </w:tc>
        <w:tc>
          <w:tcPr>
            <w:tcW w:w="1690"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73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220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1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628" w:type="dxa"/>
            <w:gridSpan w:val="2"/>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756"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089"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1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31"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2491"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04" w:hRule="atLeast"/>
        </w:trPr>
        <w:tc>
          <w:tcPr>
            <w:tcW w:w="13980"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b/>
                <w:bCs/>
                <w:color w:val="000000"/>
                <w:kern w:val="0"/>
                <w:sz w:val="30"/>
                <w:szCs w:val="30"/>
              </w:rPr>
            </w:pPr>
            <w:r>
              <w:rPr>
                <w:rFonts w:hint="eastAsia" w:ascii="黑体" w:hAnsi="黑体" w:eastAsia="黑体"/>
                <w:b/>
                <w:bCs/>
                <w:color w:val="000000"/>
                <w:kern w:val="0"/>
                <w:sz w:val="30"/>
                <w:szCs w:val="30"/>
              </w:rPr>
              <w:t>部门预算项目支出绩效自评表（</w:t>
            </w:r>
            <w:r>
              <w:rPr>
                <w:b/>
                <w:bCs/>
                <w:color w:val="000000"/>
                <w:kern w:val="0"/>
                <w:sz w:val="30"/>
                <w:szCs w:val="30"/>
              </w:rPr>
              <w:t>2022</w:t>
            </w:r>
            <w:r>
              <w:rPr>
                <w:rFonts w:hint="eastAsia" w:ascii="黑体" w:hAnsi="黑体" w:eastAsia="黑体"/>
                <w:b/>
                <w:bCs/>
                <w:color w:val="000000"/>
                <w:kern w:val="0"/>
                <w:sz w:val="30"/>
                <w:szCs w:val="30"/>
              </w:rPr>
              <w:t>年度）</w:t>
            </w:r>
          </w:p>
        </w:tc>
      </w:tr>
      <w:tr>
        <w:tblPrEx>
          <w:tblCellMar>
            <w:top w:w="0" w:type="dxa"/>
            <w:left w:w="108" w:type="dxa"/>
            <w:bottom w:w="0" w:type="dxa"/>
            <w:right w:w="108" w:type="dxa"/>
          </w:tblCellMar>
        </w:tblPrEx>
        <w:trPr>
          <w:trHeight w:val="285"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项目名称</w:t>
            </w:r>
          </w:p>
        </w:tc>
        <w:tc>
          <w:tcPr>
            <w:tcW w:w="11461" w:type="dxa"/>
            <w:gridSpan w:val="10"/>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51000022T000000249706-</w:t>
            </w:r>
            <w:r>
              <w:rPr>
                <w:rFonts w:hint="eastAsia" w:ascii="宋体" w:hAnsi="宋体"/>
                <w:color w:val="000000"/>
                <w:kern w:val="0"/>
                <w:sz w:val="18"/>
                <w:szCs w:val="18"/>
              </w:rPr>
              <w:t>村镇建设规划与咨询（德阳、泸州等地）</w:t>
            </w:r>
          </w:p>
        </w:tc>
      </w:tr>
      <w:tr>
        <w:tblPrEx>
          <w:tblCellMar>
            <w:top w:w="0" w:type="dxa"/>
            <w:left w:w="108" w:type="dxa"/>
            <w:bottom w:w="0" w:type="dxa"/>
            <w:right w:w="108" w:type="dxa"/>
          </w:tblCellMar>
        </w:tblPrEx>
        <w:trPr>
          <w:trHeight w:val="514"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主管部门</w:t>
            </w: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四川省住房和城乡建设厅部门</w:t>
            </w:r>
          </w:p>
        </w:tc>
        <w:tc>
          <w:tcPr>
            <w:tcW w:w="1089" w:type="dxa"/>
            <w:tcBorders>
              <w:top w:val="nil"/>
              <w:left w:val="nil"/>
              <w:bottom w:val="nil"/>
              <w:right w:val="nil"/>
            </w:tcBorders>
            <w:shd w:val="clear" w:color="auto" w:fill="auto"/>
            <w:noWrap w:val="0"/>
            <w:vAlign w:val="center"/>
          </w:tcPr>
          <w:p>
            <w:pPr>
              <w:widowControl/>
              <w:jc w:val="left"/>
              <w:rPr>
                <w:color w:val="000000"/>
                <w:kern w:val="0"/>
                <w:sz w:val="18"/>
                <w:szCs w:val="18"/>
              </w:rPr>
            </w:pPr>
            <w:r>
              <w:rPr>
                <w:rFonts w:hint="eastAsia" w:ascii="黑体" w:hAnsi="黑体" w:eastAsia="黑体"/>
                <w:color w:val="000000"/>
                <w:kern w:val="0"/>
                <w:sz w:val="18"/>
                <w:szCs w:val="18"/>
              </w:rPr>
              <w:t>实施单位</w:t>
            </w:r>
            <w:r>
              <w:rPr>
                <w:color w:val="000000"/>
                <w:kern w:val="0"/>
                <w:sz w:val="18"/>
                <w:szCs w:val="18"/>
              </w:rPr>
              <w:t xml:space="preserve"> </w:t>
            </w:r>
            <w:r>
              <w:rPr>
                <w:rFonts w:hint="eastAsia" w:ascii="黑体" w:hAnsi="黑体" w:eastAsia="黑体"/>
                <w:color w:val="000000"/>
                <w:kern w:val="0"/>
                <w:sz w:val="18"/>
                <w:szCs w:val="18"/>
              </w:rPr>
              <w:t>（盖章）</w:t>
            </w:r>
          </w:p>
        </w:tc>
        <w:tc>
          <w:tcPr>
            <w:tcW w:w="353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四川省城乡建设研究院</w:t>
            </w:r>
          </w:p>
        </w:tc>
      </w:tr>
      <w:tr>
        <w:tblPrEx>
          <w:tblCellMar>
            <w:top w:w="0" w:type="dxa"/>
            <w:left w:w="108" w:type="dxa"/>
            <w:bottom w:w="0" w:type="dxa"/>
            <w:right w:w="108" w:type="dxa"/>
          </w:tblCellMar>
        </w:tblPrEx>
        <w:trPr>
          <w:trHeight w:val="285"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项目基本情况</w:t>
            </w:r>
          </w:p>
        </w:tc>
        <w:tc>
          <w:tcPr>
            <w:tcW w:w="169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1.</w:t>
            </w:r>
            <w:r>
              <w:rPr>
                <w:rFonts w:hint="eastAsia" w:ascii="宋体" w:hAnsi="宋体"/>
                <w:color w:val="000000"/>
                <w:kern w:val="0"/>
                <w:sz w:val="18"/>
                <w:szCs w:val="18"/>
              </w:rPr>
              <w:t>项目年度目标完成情况</w:t>
            </w: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项目年度目标</w:t>
            </w:r>
          </w:p>
        </w:tc>
        <w:tc>
          <w:tcPr>
            <w:tcW w:w="4625"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黑体" w:hAnsi="黑体" w:eastAsia="黑体"/>
                <w:color w:val="000000"/>
                <w:kern w:val="0"/>
                <w:sz w:val="18"/>
                <w:szCs w:val="18"/>
              </w:rPr>
              <w:t>年度目标完成情况</w:t>
            </w:r>
          </w:p>
        </w:tc>
      </w:tr>
      <w:tr>
        <w:tblPrEx>
          <w:tblCellMar>
            <w:top w:w="0" w:type="dxa"/>
            <w:left w:w="108" w:type="dxa"/>
            <w:bottom w:w="0" w:type="dxa"/>
            <w:right w:w="108" w:type="dxa"/>
          </w:tblCellMar>
        </w:tblPrEx>
        <w:trPr>
          <w:trHeight w:val="1590"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根据院职能范围以及</w:t>
            </w:r>
            <w:r>
              <w:rPr>
                <w:color w:val="000000"/>
                <w:kern w:val="0"/>
                <w:sz w:val="18"/>
                <w:szCs w:val="18"/>
              </w:rPr>
              <w:t>2022</w:t>
            </w:r>
            <w:r>
              <w:rPr>
                <w:rFonts w:hint="eastAsia" w:ascii="宋体" w:hAnsi="宋体"/>
                <w:color w:val="000000"/>
                <w:kern w:val="0"/>
                <w:sz w:val="18"/>
                <w:szCs w:val="18"/>
              </w:rPr>
              <w:t>年相关技术成果转化的预计经营情况，分析我省村镇建设的基础条件，针对德阳、泸州等地开展详细调研；结合中心镇改革相关要求，明晰德阳、泸州等地村镇建设中存在的短板，分析其发展潜力，就基础设施、公共服务设施、城镇景观风貌等方面进行专项规划，提升城镇人居环境水平。</w:t>
            </w:r>
          </w:p>
        </w:tc>
        <w:tc>
          <w:tcPr>
            <w:tcW w:w="4625"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2022年基于我省两项改革、中心镇建设等政策指引，深入德阳、泸州等地开展系统规划工作，全面完成德阳师古镇、蓥华镇、孝德镇，以及泸州江阳通滩镇、分水岭镇、黄舣镇中心镇申报及培育总体方案，并同步启动德阳汉旺镇等一批中心镇建设规划工作，项目年度目标稳步实现。</w:t>
            </w:r>
          </w:p>
        </w:tc>
      </w:tr>
      <w:tr>
        <w:tblPrEx>
          <w:tblCellMar>
            <w:top w:w="0" w:type="dxa"/>
            <w:left w:w="108" w:type="dxa"/>
            <w:bottom w:w="0" w:type="dxa"/>
            <w:right w:w="108" w:type="dxa"/>
          </w:tblCellMar>
        </w:tblPrEx>
        <w:trPr>
          <w:trHeight w:val="1095"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2.</w:t>
            </w:r>
            <w:r>
              <w:rPr>
                <w:rFonts w:hint="eastAsia" w:ascii="宋体" w:hAnsi="宋体"/>
                <w:color w:val="000000"/>
                <w:kern w:val="0"/>
                <w:sz w:val="18"/>
                <w:szCs w:val="18"/>
              </w:rPr>
              <w:t>项目实施内容及过程概述</w:t>
            </w:r>
          </w:p>
        </w:tc>
        <w:tc>
          <w:tcPr>
            <w:tcW w:w="11461" w:type="dxa"/>
            <w:gridSpan w:val="10"/>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项目于</w:t>
            </w:r>
            <w:r>
              <w:rPr>
                <w:color w:val="000000"/>
                <w:kern w:val="0"/>
                <w:sz w:val="18"/>
                <w:szCs w:val="18"/>
              </w:rPr>
              <w:t>2022</w:t>
            </w:r>
            <w:r>
              <w:rPr>
                <w:rFonts w:hint="eastAsia" w:ascii="宋体" w:hAnsi="宋体"/>
                <w:color w:val="000000"/>
                <w:kern w:val="0"/>
                <w:sz w:val="18"/>
                <w:szCs w:val="18"/>
              </w:rPr>
              <w:t>年初全面启动，具体实施内容以我省中心镇建设为总抓手全面铺开，具体包括两个方面。一是中心镇申报及培育，通过厘清村镇基础设施、公服设施、产业集聚、文化风貌、机制体制基本情况，明确中心镇创建优势及问题短板，并进一步梳理培育总体思路、工作目标、重点任务。二是中心镇建设规划，具体包括市政基础设施、道路交通、产业发展、公共服务设施、绿地系统、环境风貌、历史文化保护等多个方面。</w:t>
            </w:r>
          </w:p>
        </w:tc>
      </w:tr>
      <w:tr>
        <w:tblPrEx>
          <w:tblCellMar>
            <w:top w:w="0" w:type="dxa"/>
            <w:left w:w="108" w:type="dxa"/>
            <w:bottom w:w="0" w:type="dxa"/>
            <w:right w:w="108" w:type="dxa"/>
          </w:tblCellMar>
        </w:tblPrEx>
        <w:trPr>
          <w:trHeight w:val="360"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预算执行情况（</w:t>
            </w:r>
            <w:r>
              <w:rPr>
                <w:color w:val="000000"/>
                <w:kern w:val="0"/>
                <w:sz w:val="18"/>
                <w:szCs w:val="18"/>
              </w:rPr>
              <w:t>10</w:t>
            </w:r>
            <w:r>
              <w:rPr>
                <w:rFonts w:hint="eastAsia" w:ascii="宋体" w:hAnsi="宋体"/>
                <w:color w:val="000000"/>
                <w:kern w:val="0"/>
                <w:sz w:val="18"/>
                <w:szCs w:val="18"/>
              </w:rPr>
              <w:t>分）</w:t>
            </w: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年度预算数（万元）</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年初预算</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调整后预算数</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预算执行数</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预算执行率</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权重</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得分</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总额</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90.00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34.50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32.79</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95.05%</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9.5</w:t>
            </w:r>
          </w:p>
        </w:tc>
        <w:tc>
          <w:tcPr>
            <w:tcW w:w="2491"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年中发生预算调减的主要原因系</w:t>
            </w:r>
            <w:r>
              <w:rPr>
                <w:color w:val="000000"/>
                <w:kern w:val="0"/>
                <w:sz w:val="18"/>
                <w:szCs w:val="18"/>
              </w:rPr>
              <w:t>,</w:t>
            </w:r>
            <w:r>
              <w:rPr>
                <w:rFonts w:hint="eastAsia" w:ascii="宋体" w:hAnsi="宋体"/>
                <w:color w:val="000000"/>
                <w:kern w:val="0"/>
                <w:sz w:val="18"/>
                <w:szCs w:val="18"/>
              </w:rPr>
              <w:t>根据市场变化，预计收入下降，且进一步加强厉行节约，项目支出得到有效控制。</w:t>
            </w:r>
          </w:p>
        </w:tc>
      </w:tr>
      <w:tr>
        <w:tblPrEx>
          <w:tblCellMar>
            <w:top w:w="0" w:type="dxa"/>
            <w:left w:w="108" w:type="dxa"/>
            <w:bottom w:w="0" w:type="dxa"/>
            <w:right w:w="108" w:type="dxa"/>
          </w:tblCellMar>
        </w:tblPrEx>
        <w:trPr>
          <w:trHeight w:val="432"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其中：财政资金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47"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财政专户管理资金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02"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单位资金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90.00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34.50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32.79</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95.05%</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379"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其他资金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54"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绩效指标（</w:t>
            </w:r>
            <w:r>
              <w:rPr>
                <w:color w:val="000000"/>
                <w:kern w:val="0"/>
                <w:sz w:val="18"/>
                <w:szCs w:val="18"/>
              </w:rPr>
              <w:t>90</w:t>
            </w:r>
            <w:r>
              <w:rPr>
                <w:rFonts w:hint="eastAsia" w:ascii="宋体" w:hAnsi="宋体"/>
                <w:color w:val="000000"/>
                <w:kern w:val="0"/>
                <w:sz w:val="18"/>
                <w:szCs w:val="18"/>
              </w:rPr>
              <w:t>分）</w:t>
            </w: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一级指标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二级指标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三级指标</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指标性质</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指标值</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度量单位</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完成值</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权重</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得分</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产出指标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数量指标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项目数量</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个</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7</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20</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成本指标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项目总成本</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90</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万元</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32.79</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50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50</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效益指标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可持续发展指标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城乡建设环境及生态等</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定性</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优良中低差</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　</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宋体"/>
                <w:i/>
                <w:iCs/>
                <w:color w:val="000000"/>
                <w:kern w:val="0"/>
                <w:sz w:val="16"/>
                <w:szCs w:val="16"/>
              </w:rPr>
            </w:pPr>
            <w:r>
              <w:rPr>
                <w:rFonts w:hint="eastAsia" w:ascii="宋体" w:hAnsi="宋体" w:cs="宋体"/>
                <w:i/>
                <w:iCs/>
                <w:color w:val="000000"/>
                <w:kern w:val="0"/>
                <w:sz w:val="16"/>
                <w:szCs w:val="16"/>
              </w:rPr>
              <w:t>良</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rFonts w:hint="eastAsia"/>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8</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454"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满意度指标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服务对象满意度指标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甲方满意度</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定性</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优良中低差</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　</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宋体"/>
                <w:i/>
                <w:iCs/>
                <w:color w:val="000000"/>
                <w:kern w:val="0"/>
                <w:sz w:val="16"/>
                <w:szCs w:val="16"/>
              </w:rPr>
            </w:pPr>
            <w:r>
              <w:rPr>
                <w:rFonts w:hint="eastAsia" w:ascii="宋体" w:hAnsi="宋体" w:cs="宋体"/>
                <w:i/>
                <w:iCs/>
                <w:color w:val="000000"/>
                <w:kern w:val="0"/>
                <w:sz w:val="16"/>
                <w:szCs w:val="16"/>
              </w:rPr>
              <w:t>良</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rFonts w:hint="eastAsia"/>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8</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285" w:hRule="atLeast"/>
        </w:trPr>
        <w:tc>
          <w:tcPr>
            <w:tcW w:w="10444"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合计</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　</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right"/>
              <w:rPr>
                <w:color w:val="000000"/>
                <w:kern w:val="0"/>
                <w:sz w:val="18"/>
                <w:szCs w:val="18"/>
              </w:rPr>
            </w:pPr>
            <w:r>
              <w:rPr>
                <w:color w:val="000000"/>
                <w:kern w:val="0"/>
                <w:sz w:val="18"/>
                <w:szCs w:val="18"/>
              </w:rPr>
              <w:t>95.5</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　</w:t>
            </w:r>
          </w:p>
        </w:tc>
      </w:tr>
      <w:tr>
        <w:tblPrEx>
          <w:tblCellMar>
            <w:top w:w="0" w:type="dxa"/>
            <w:left w:w="108" w:type="dxa"/>
            <w:bottom w:w="0" w:type="dxa"/>
            <w:right w:w="108" w:type="dxa"/>
          </w:tblCellMar>
        </w:tblPrEx>
        <w:trPr>
          <w:trHeight w:val="604"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评价结论</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6"/>
                <w:szCs w:val="16"/>
              </w:rPr>
            </w:pPr>
            <w:r>
              <w:rPr>
                <w:rFonts w:hint="eastAsia" w:ascii="宋体" w:hAnsi="宋体"/>
                <w:color w:val="000000"/>
                <w:kern w:val="0"/>
                <w:sz w:val="16"/>
                <w:szCs w:val="16"/>
              </w:rPr>
              <w:t>项目自评总分达到</w:t>
            </w:r>
            <w:r>
              <w:rPr>
                <w:color w:val="000000"/>
                <w:kern w:val="0"/>
                <w:sz w:val="16"/>
                <w:szCs w:val="16"/>
              </w:rPr>
              <w:t>95.5</w:t>
            </w:r>
            <w:r>
              <w:rPr>
                <w:rFonts w:hint="eastAsia" w:ascii="宋体" w:hAnsi="宋体"/>
                <w:color w:val="000000"/>
                <w:kern w:val="0"/>
                <w:sz w:val="16"/>
                <w:szCs w:val="16"/>
              </w:rPr>
              <w:t>分，整体预算执行情况良好，绩效指标全部达标。同时，项目产出成果既为德阳、泸州等地的中心镇建设培育工作顺利推进、乡镇行政区划和村级建制调整改革</w:t>
            </w:r>
            <w:r>
              <w:rPr>
                <w:color w:val="000000"/>
                <w:kern w:val="0"/>
                <w:sz w:val="16"/>
                <w:szCs w:val="16"/>
              </w:rPr>
              <w:t>“</w:t>
            </w:r>
            <w:r>
              <w:rPr>
                <w:rFonts w:hint="eastAsia" w:ascii="宋体" w:hAnsi="宋体"/>
                <w:color w:val="000000"/>
                <w:kern w:val="0"/>
                <w:sz w:val="16"/>
                <w:szCs w:val="16"/>
              </w:rPr>
              <w:t>后半篇</w:t>
            </w:r>
            <w:r>
              <w:rPr>
                <w:color w:val="000000"/>
                <w:kern w:val="0"/>
                <w:sz w:val="16"/>
                <w:szCs w:val="16"/>
              </w:rPr>
              <w:t>”</w:t>
            </w:r>
            <w:r>
              <w:rPr>
                <w:rFonts w:hint="eastAsia" w:ascii="宋体" w:hAnsi="宋体"/>
                <w:color w:val="000000"/>
                <w:kern w:val="0"/>
                <w:sz w:val="16"/>
                <w:szCs w:val="16"/>
              </w:rPr>
              <w:t>文章的做实做深提供有力支撑，又为各地村镇人居环境水平的持续提升指明方向，成效尤为突出。</w:t>
            </w:r>
          </w:p>
        </w:tc>
      </w:tr>
      <w:tr>
        <w:tblPrEx>
          <w:tblCellMar>
            <w:top w:w="0" w:type="dxa"/>
            <w:left w:w="108" w:type="dxa"/>
            <w:bottom w:w="0" w:type="dxa"/>
            <w:right w:w="108" w:type="dxa"/>
          </w:tblCellMar>
        </w:tblPrEx>
        <w:trPr>
          <w:trHeight w:val="574"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存在问题</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6"/>
                <w:szCs w:val="16"/>
              </w:rPr>
            </w:pPr>
            <w:r>
              <w:rPr>
                <w:color w:val="000000"/>
                <w:kern w:val="0"/>
                <w:sz w:val="16"/>
                <w:szCs w:val="16"/>
              </w:rPr>
              <w:t>项目成果转化程度仍有不足，建设示范效应尚未充分彰显。</w:t>
            </w:r>
          </w:p>
        </w:tc>
      </w:tr>
      <w:tr>
        <w:tblPrEx>
          <w:tblCellMar>
            <w:top w:w="0" w:type="dxa"/>
            <w:left w:w="108" w:type="dxa"/>
            <w:bottom w:w="0" w:type="dxa"/>
            <w:right w:w="108" w:type="dxa"/>
          </w:tblCellMar>
        </w:tblPrEx>
        <w:trPr>
          <w:trHeight w:val="1020"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改进措施</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6"/>
                <w:szCs w:val="16"/>
              </w:rPr>
            </w:pPr>
            <w:r>
              <w:rPr>
                <w:color w:val="000000"/>
                <w:kern w:val="0"/>
                <w:sz w:val="16"/>
                <w:szCs w:val="16"/>
              </w:rPr>
              <w:t>依托既有项目成果，总结村镇建设规划经验，持续推动我省不同类型、不同地域村镇建设发展，并根据村镇资源禀赋、区位特点和经济社会发展现状，充分考虑不同发展阶段和乡镇差异性，合理确定村镇建设规划策略，为我省城镇人居环境水平改善提供明确指引。同时要加大成果转化力度，通过论文、公众号、推广视频等形式，进一步提升成果推广示范效益。</w:t>
            </w:r>
          </w:p>
        </w:tc>
      </w:tr>
      <w:tr>
        <w:tblPrEx>
          <w:tblCellMar>
            <w:top w:w="0" w:type="dxa"/>
            <w:left w:w="108" w:type="dxa"/>
            <w:bottom w:w="0" w:type="dxa"/>
            <w:right w:w="108" w:type="dxa"/>
          </w:tblCellMar>
        </w:tblPrEx>
        <w:trPr>
          <w:trHeight w:val="285" w:hRule="atLeast"/>
        </w:trPr>
        <w:tc>
          <w:tcPr>
            <w:tcW w:w="7320"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黑体" w:hAnsi="黑体" w:eastAsia="黑体"/>
                <w:color w:val="000000"/>
                <w:kern w:val="0"/>
                <w:sz w:val="18"/>
                <w:szCs w:val="18"/>
              </w:rPr>
            </w:pPr>
            <w:r>
              <w:rPr>
                <w:rFonts w:hint="eastAsia" w:ascii="黑体" w:hAnsi="黑体" w:eastAsia="黑体"/>
                <w:color w:val="000000"/>
                <w:sz w:val="18"/>
                <w:szCs w:val="18"/>
              </w:rPr>
              <w:t>项目负责人：陈俊松</w:t>
            </w:r>
          </w:p>
        </w:tc>
        <w:tc>
          <w:tcPr>
            <w:tcW w:w="6660" w:type="dxa"/>
            <w:gridSpan w:val="6"/>
            <w:tcBorders>
              <w:top w:val="single" w:color="000000" w:sz="4" w:space="0"/>
              <w:left w:val="nil"/>
              <w:bottom w:val="single" w:color="000000" w:sz="4" w:space="0"/>
              <w:right w:val="single" w:color="000000" w:sz="4" w:space="0"/>
            </w:tcBorders>
            <w:shd w:val="clear" w:color="auto" w:fill="auto"/>
            <w:noWrap w:val="0"/>
            <w:vAlign w:val="center"/>
          </w:tcPr>
          <w:p>
            <w:pPr>
              <w:rPr>
                <w:rFonts w:hint="eastAsia" w:ascii="黑体" w:hAnsi="黑体" w:eastAsia="黑体"/>
                <w:color w:val="000000"/>
                <w:sz w:val="18"/>
                <w:szCs w:val="18"/>
              </w:rPr>
            </w:pPr>
            <w:r>
              <w:rPr>
                <w:rFonts w:hint="eastAsia" w:ascii="黑体" w:hAnsi="黑体" w:eastAsia="黑体"/>
                <w:color w:val="000000"/>
                <w:sz w:val="18"/>
                <w:szCs w:val="18"/>
              </w:rPr>
              <w:t>财务负责人：杨猛</w:t>
            </w:r>
          </w:p>
        </w:tc>
      </w:tr>
      <w:tr>
        <w:tblPrEx>
          <w:tblCellMar>
            <w:top w:w="0" w:type="dxa"/>
            <w:left w:w="108" w:type="dxa"/>
            <w:bottom w:w="0" w:type="dxa"/>
            <w:right w:w="108" w:type="dxa"/>
          </w:tblCellMar>
        </w:tblPrEx>
        <w:trPr>
          <w:trHeight w:val="285" w:hRule="atLeast"/>
        </w:trPr>
        <w:tc>
          <w:tcPr>
            <w:tcW w:w="829" w:type="dxa"/>
            <w:tcBorders>
              <w:top w:val="nil"/>
              <w:left w:val="nil"/>
              <w:bottom w:val="nil"/>
              <w:right w:val="nil"/>
            </w:tcBorders>
            <w:shd w:val="clear" w:color="auto" w:fill="auto"/>
            <w:noWrap w:val="0"/>
            <w:vAlign w:val="center"/>
          </w:tcPr>
          <w:p>
            <w:pPr>
              <w:widowControl/>
              <w:jc w:val="left"/>
              <w:rPr>
                <w:color w:val="000000"/>
                <w:kern w:val="0"/>
                <w:sz w:val="18"/>
                <w:szCs w:val="18"/>
              </w:rPr>
            </w:pPr>
          </w:p>
        </w:tc>
        <w:tc>
          <w:tcPr>
            <w:tcW w:w="1690"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73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220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1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628" w:type="dxa"/>
            <w:gridSpan w:val="2"/>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756"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089"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1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31"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2491"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04" w:hRule="atLeast"/>
        </w:trPr>
        <w:tc>
          <w:tcPr>
            <w:tcW w:w="13980"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b/>
                <w:bCs/>
                <w:color w:val="000000"/>
                <w:kern w:val="0"/>
                <w:sz w:val="30"/>
                <w:szCs w:val="30"/>
              </w:rPr>
            </w:pPr>
            <w:r>
              <w:rPr>
                <w:rFonts w:hint="eastAsia" w:ascii="黑体" w:hAnsi="黑体" w:eastAsia="黑体"/>
                <w:b/>
                <w:bCs/>
                <w:color w:val="000000"/>
                <w:kern w:val="0"/>
                <w:sz w:val="30"/>
                <w:szCs w:val="30"/>
              </w:rPr>
              <w:t>部门预算项目支出绩效自评表（</w:t>
            </w:r>
            <w:r>
              <w:rPr>
                <w:b/>
                <w:bCs/>
                <w:color w:val="000000"/>
                <w:kern w:val="0"/>
                <w:sz w:val="30"/>
                <w:szCs w:val="30"/>
              </w:rPr>
              <w:t>2022</w:t>
            </w:r>
            <w:r>
              <w:rPr>
                <w:rFonts w:hint="eastAsia" w:ascii="黑体" w:hAnsi="黑体" w:eastAsia="黑体"/>
                <w:b/>
                <w:bCs/>
                <w:color w:val="000000"/>
                <w:kern w:val="0"/>
                <w:sz w:val="30"/>
                <w:szCs w:val="30"/>
              </w:rPr>
              <w:t>年度）</w:t>
            </w:r>
          </w:p>
        </w:tc>
      </w:tr>
      <w:tr>
        <w:tblPrEx>
          <w:tblCellMar>
            <w:top w:w="0" w:type="dxa"/>
            <w:left w:w="108" w:type="dxa"/>
            <w:bottom w:w="0" w:type="dxa"/>
            <w:right w:w="108" w:type="dxa"/>
          </w:tblCellMar>
        </w:tblPrEx>
        <w:trPr>
          <w:trHeight w:val="285"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项目名称</w:t>
            </w:r>
          </w:p>
        </w:tc>
        <w:tc>
          <w:tcPr>
            <w:tcW w:w="11461" w:type="dxa"/>
            <w:gridSpan w:val="10"/>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51000022T000000249707-</w:t>
            </w:r>
            <w:r>
              <w:rPr>
                <w:rFonts w:hint="eastAsia" w:ascii="宋体" w:hAnsi="宋体"/>
                <w:color w:val="000000"/>
                <w:kern w:val="0"/>
                <w:sz w:val="18"/>
                <w:szCs w:val="18"/>
              </w:rPr>
              <w:t>市政基础设施建设技术咨询服务（含房屋建筑和市政设施综合风险普查）</w:t>
            </w:r>
          </w:p>
        </w:tc>
      </w:tr>
      <w:tr>
        <w:tblPrEx>
          <w:tblCellMar>
            <w:top w:w="0" w:type="dxa"/>
            <w:left w:w="108" w:type="dxa"/>
            <w:bottom w:w="0" w:type="dxa"/>
            <w:right w:w="108" w:type="dxa"/>
          </w:tblCellMar>
        </w:tblPrEx>
        <w:trPr>
          <w:trHeight w:val="514"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主管部门</w:t>
            </w: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四川省住房和城乡建设厅部门</w:t>
            </w:r>
          </w:p>
        </w:tc>
        <w:tc>
          <w:tcPr>
            <w:tcW w:w="1089" w:type="dxa"/>
            <w:tcBorders>
              <w:top w:val="nil"/>
              <w:left w:val="nil"/>
              <w:bottom w:val="nil"/>
              <w:right w:val="nil"/>
            </w:tcBorders>
            <w:shd w:val="clear" w:color="auto" w:fill="auto"/>
            <w:noWrap w:val="0"/>
            <w:vAlign w:val="center"/>
          </w:tcPr>
          <w:p>
            <w:pPr>
              <w:widowControl/>
              <w:jc w:val="left"/>
              <w:rPr>
                <w:color w:val="000000"/>
                <w:kern w:val="0"/>
                <w:sz w:val="18"/>
                <w:szCs w:val="18"/>
              </w:rPr>
            </w:pPr>
            <w:r>
              <w:rPr>
                <w:rFonts w:hint="eastAsia" w:ascii="黑体" w:hAnsi="黑体" w:eastAsia="黑体"/>
                <w:color w:val="000000"/>
                <w:kern w:val="0"/>
                <w:sz w:val="18"/>
                <w:szCs w:val="18"/>
              </w:rPr>
              <w:t>实施单位</w:t>
            </w:r>
            <w:r>
              <w:rPr>
                <w:color w:val="000000"/>
                <w:kern w:val="0"/>
                <w:sz w:val="18"/>
                <w:szCs w:val="18"/>
              </w:rPr>
              <w:t xml:space="preserve"> </w:t>
            </w:r>
            <w:r>
              <w:rPr>
                <w:rFonts w:hint="eastAsia" w:ascii="黑体" w:hAnsi="黑体" w:eastAsia="黑体"/>
                <w:color w:val="000000"/>
                <w:kern w:val="0"/>
                <w:sz w:val="18"/>
                <w:szCs w:val="18"/>
              </w:rPr>
              <w:t>（盖章）</w:t>
            </w:r>
          </w:p>
        </w:tc>
        <w:tc>
          <w:tcPr>
            <w:tcW w:w="353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四川省城乡建设研究院</w:t>
            </w:r>
          </w:p>
        </w:tc>
      </w:tr>
      <w:tr>
        <w:tblPrEx>
          <w:tblCellMar>
            <w:top w:w="0" w:type="dxa"/>
            <w:left w:w="108" w:type="dxa"/>
            <w:bottom w:w="0" w:type="dxa"/>
            <w:right w:w="108" w:type="dxa"/>
          </w:tblCellMar>
        </w:tblPrEx>
        <w:trPr>
          <w:trHeight w:val="285"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项目基本情况</w:t>
            </w:r>
          </w:p>
        </w:tc>
        <w:tc>
          <w:tcPr>
            <w:tcW w:w="169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1.</w:t>
            </w:r>
            <w:r>
              <w:rPr>
                <w:rFonts w:hint="eastAsia" w:ascii="宋体" w:hAnsi="宋体"/>
                <w:color w:val="000000"/>
                <w:kern w:val="0"/>
                <w:sz w:val="18"/>
                <w:szCs w:val="18"/>
              </w:rPr>
              <w:t>项目年度目标完成情况</w:t>
            </w: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项目年度目标</w:t>
            </w:r>
          </w:p>
        </w:tc>
        <w:tc>
          <w:tcPr>
            <w:tcW w:w="4625"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黑体" w:hAnsi="黑体" w:eastAsia="黑体"/>
                <w:color w:val="000000"/>
                <w:kern w:val="0"/>
                <w:sz w:val="18"/>
                <w:szCs w:val="18"/>
              </w:rPr>
              <w:t>年度目标完成情况</w:t>
            </w:r>
          </w:p>
        </w:tc>
      </w:tr>
      <w:tr>
        <w:tblPrEx>
          <w:tblCellMar>
            <w:top w:w="0" w:type="dxa"/>
            <w:left w:w="108" w:type="dxa"/>
            <w:bottom w:w="0" w:type="dxa"/>
            <w:right w:w="108" w:type="dxa"/>
          </w:tblCellMar>
        </w:tblPrEx>
        <w:trPr>
          <w:trHeight w:val="2070"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根据院职能范围以及</w:t>
            </w:r>
            <w:r>
              <w:rPr>
                <w:color w:val="000000"/>
                <w:kern w:val="0"/>
                <w:sz w:val="18"/>
                <w:szCs w:val="18"/>
              </w:rPr>
              <w:t>2022</w:t>
            </w:r>
            <w:r>
              <w:rPr>
                <w:rFonts w:hint="eastAsia" w:ascii="宋体" w:hAnsi="宋体"/>
                <w:color w:val="000000"/>
                <w:kern w:val="0"/>
                <w:sz w:val="18"/>
                <w:szCs w:val="18"/>
              </w:rPr>
              <w:t>年相关技术成果转化的预计经营情况，</w:t>
            </w:r>
            <w:r>
              <w:rPr>
                <w:color w:val="000000"/>
                <w:kern w:val="0"/>
                <w:sz w:val="18"/>
                <w:szCs w:val="18"/>
              </w:rPr>
              <w:t xml:space="preserve"> </w:t>
            </w:r>
            <w:r>
              <w:rPr>
                <w:rFonts w:hint="eastAsia" w:ascii="宋体" w:hAnsi="宋体"/>
                <w:color w:val="000000"/>
                <w:kern w:val="0"/>
                <w:sz w:val="18"/>
                <w:szCs w:val="18"/>
              </w:rPr>
              <w:t>项目配置完成工作所需的相关专业技术人员，主要开展城乡基础设施建设、海绵城市建设、城镇污水垃圾处理、老旧小区改造等相关规划、评估和其他技术咨询服务工作。</w:t>
            </w:r>
            <w:r>
              <w:rPr>
                <w:color w:val="000000"/>
                <w:kern w:val="0"/>
                <w:sz w:val="18"/>
                <w:szCs w:val="18"/>
              </w:rPr>
              <w:t xml:space="preserve"> </w:t>
            </w:r>
            <w:r>
              <w:rPr>
                <w:rFonts w:hint="eastAsia" w:ascii="宋体" w:hAnsi="宋体"/>
                <w:color w:val="000000"/>
                <w:kern w:val="0"/>
                <w:sz w:val="18"/>
                <w:szCs w:val="18"/>
              </w:rPr>
              <w:t>通过组织开展房屋建筑和市政设施承灾体调查，摸清现有房屋建筑存量底数、市政设施基础数据以及设防水平等底数信息，掌握翔实准确的房屋建筑和市政设施承灾体的空间分布及灾害属性基本特征。</w:t>
            </w:r>
          </w:p>
        </w:tc>
        <w:tc>
          <w:tcPr>
            <w:tcW w:w="4625"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2022年，按照住建厅关于海绵城市、污水垃圾三推和房屋建筑和市政设施综合风险普查等的工作安排，市政所主动承接相关对厅服务和项目咨询工作。先后完成广元、广安、德阳、仁寿、南部、开江等海绵城市建设示范技术咨询工作，完成德阳、内江、绵阳、眉山等地地下综合管廊专项规划编制工作，完成遂宁、德阳、广安、阿坝州等地灾害普查工作。另外相继完成燃气工程、供水工程等其他项目，项目年度目标稳步实现。</w:t>
            </w:r>
          </w:p>
        </w:tc>
      </w:tr>
      <w:tr>
        <w:tblPrEx>
          <w:tblCellMar>
            <w:top w:w="0" w:type="dxa"/>
            <w:left w:w="108" w:type="dxa"/>
            <w:bottom w:w="0" w:type="dxa"/>
            <w:right w:w="108" w:type="dxa"/>
          </w:tblCellMar>
        </w:tblPrEx>
        <w:trPr>
          <w:trHeight w:val="825"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2.</w:t>
            </w:r>
            <w:r>
              <w:rPr>
                <w:rFonts w:hint="eastAsia" w:ascii="宋体" w:hAnsi="宋体"/>
                <w:color w:val="000000"/>
                <w:kern w:val="0"/>
                <w:sz w:val="18"/>
                <w:szCs w:val="18"/>
              </w:rPr>
              <w:t>项目实施内容及过程概述</w:t>
            </w:r>
          </w:p>
        </w:tc>
        <w:tc>
          <w:tcPr>
            <w:tcW w:w="11461" w:type="dxa"/>
            <w:gridSpan w:val="10"/>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项目于2022年初全面启动，具体实施内容以住建厅关于海绵城市、污水垃圾三推和房屋建筑和市政设施综合风险普查等的工作安排全面铺开。3月主要完成我省第一批系统化推进海绵城市建设示范工作，9月主要开展地下综合管廊专项规划，10月与全省工作同步推进，基本完成房屋建筑和市政设施综合风险普查，其他工作稳步推进。</w:t>
            </w:r>
          </w:p>
        </w:tc>
      </w:tr>
      <w:tr>
        <w:tblPrEx>
          <w:tblCellMar>
            <w:top w:w="0" w:type="dxa"/>
            <w:left w:w="108" w:type="dxa"/>
            <w:bottom w:w="0" w:type="dxa"/>
            <w:right w:w="108" w:type="dxa"/>
          </w:tblCellMar>
        </w:tblPrEx>
        <w:trPr>
          <w:trHeight w:val="360"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预算执行情况（</w:t>
            </w:r>
            <w:r>
              <w:rPr>
                <w:color w:val="000000"/>
                <w:kern w:val="0"/>
                <w:sz w:val="18"/>
                <w:szCs w:val="18"/>
              </w:rPr>
              <w:t>10</w:t>
            </w:r>
            <w:r>
              <w:rPr>
                <w:rFonts w:hint="eastAsia" w:ascii="宋体" w:hAnsi="宋体"/>
                <w:color w:val="000000"/>
                <w:kern w:val="0"/>
                <w:sz w:val="18"/>
                <w:szCs w:val="18"/>
              </w:rPr>
              <w:t>分）</w:t>
            </w: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年度预算数（万元）</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年初预算</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调整后预算数</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预算执行数</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预算执行率</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权重</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得分</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原因</w:t>
            </w:r>
          </w:p>
        </w:tc>
      </w:tr>
      <w:tr>
        <w:tblPrEx>
          <w:tblCellMar>
            <w:top w:w="0" w:type="dxa"/>
            <w:left w:w="108" w:type="dxa"/>
            <w:bottom w:w="0" w:type="dxa"/>
            <w:right w:w="108" w:type="dxa"/>
          </w:tblCellMar>
        </w:tblPrEx>
        <w:trPr>
          <w:trHeight w:val="480"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总额</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81.00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38.00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25.79</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67.88%</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6.8</w:t>
            </w:r>
          </w:p>
        </w:tc>
        <w:tc>
          <w:tcPr>
            <w:tcW w:w="2491"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黑体" w:hAnsi="黑体" w:eastAsia="黑体"/>
                <w:color w:val="000000"/>
                <w:kern w:val="0"/>
                <w:sz w:val="18"/>
                <w:szCs w:val="18"/>
                <w:lang w:eastAsia="zh-CN"/>
              </w:rPr>
            </w:pPr>
            <w:r>
              <w:rPr>
                <w:color w:val="000000"/>
                <w:kern w:val="0"/>
                <w:sz w:val="18"/>
                <w:szCs w:val="18"/>
              </w:rPr>
              <w:t>1.</w:t>
            </w:r>
            <w:r>
              <w:rPr>
                <w:rFonts w:hint="eastAsia" w:ascii="黑体" w:hAnsi="黑体" w:eastAsia="黑体"/>
                <w:color w:val="000000"/>
                <w:kern w:val="0"/>
                <w:sz w:val="18"/>
                <w:szCs w:val="18"/>
              </w:rPr>
              <w:t>预算执行率未达到</w:t>
            </w:r>
            <w:r>
              <w:rPr>
                <w:color w:val="000000"/>
                <w:kern w:val="0"/>
                <w:sz w:val="18"/>
                <w:szCs w:val="18"/>
              </w:rPr>
              <w:t>90%</w:t>
            </w:r>
            <w:r>
              <w:rPr>
                <w:rFonts w:hint="eastAsia" w:ascii="黑体" w:hAnsi="黑体" w:eastAsia="黑体"/>
                <w:color w:val="000000"/>
                <w:kern w:val="0"/>
                <w:sz w:val="18"/>
                <w:szCs w:val="18"/>
              </w:rPr>
              <w:t>的主要原因系项目收入系市场行为，无法准确预计。部分项目委托业务合同签订的支付条件与项目收款相关，故执行率偏低。</w:t>
            </w:r>
          </w:p>
          <w:p>
            <w:pPr>
              <w:widowControl/>
              <w:jc w:val="left"/>
              <w:rPr>
                <w:color w:val="000000"/>
                <w:kern w:val="0"/>
                <w:sz w:val="18"/>
                <w:szCs w:val="18"/>
              </w:rPr>
            </w:pPr>
            <w:r>
              <w:rPr>
                <w:color w:val="000000"/>
                <w:kern w:val="0"/>
                <w:sz w:val="18"/>
                <w:szCs w:val="18"/>
              </w:rPr>
              <w:t>2.</w:t>
            </w:r>
            <w:r>
              <w:rPr>
                <w:rFonts w:hint="eastAsia" w:ascii="黑体" w:hAnsi="黑体" w:eastAsia="黑体"/>
                <w:color w:val="000000"/>
                <w:kern w:val="0"/>
                <w:sz w:val="18"/>
                <w:szCs w:val="18"/>
              </w:rPr>
              <w:t>年中发生预算调减的主要原因系</w:t>
            </w:r>
            <w:r>
              <w:rPr>
                <w:color w:val="000000"/>
                <w:kern w:val="0"/>
                <w:sz w:val="18"/>
                <w:szCs w:val="18"/>
              </w:rPr>
              <w:t>,</w:t>
            </w:r>
            <w:r>
              <w:rPr>
                <w:rFonts w:hint="eastAsia" w:ascii="黑体" w:hAnsi="黑体" w:eastAsia="黑体"/>
                <w:color w:val="000000"/>
                <w:kern w:val="0"/>
                <w:sz w:val="18"/>
                <w:szCs w:val="18"/>
              </w:rPr>
              <w:t>根据市场变化，预计收入下降，且进一步加强厉行节约，项目支出得到有效控制。</w:t>
            </w:r>
          </w:p>
        </w:tc>
      </w:tr>
      <w:tr>
        <w:tblPrEx>
          <w:tblCellMar>
            <w:top w:w="0" w:type="dxa"/>
            <w:left w:w="108" w:type="dxa"/>
            <w:bottom w:w="0" w:type="dxa"/>
            <w:right w:w="108" w:type="dxa"/>
          </w:tblCellMar>
        </w:tblPrEx>
        <w:trPr>
          <w:trHeight w:val="480"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其中：财政资金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80"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财政专户管理资金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80"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单位资金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81.00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38.00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25.79</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67.88%</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80"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其他资金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54"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绩效指标（</w:t>
            </w:r>
            <w:r>
              <w:rPr>
                <w:color w:val="000000"/>
                <w:kern w:val="0"/>
                <w:sz w:val="18"/>
                <w:szCs w:val="18"/>
              </w:rPr>
              <w:t>90</w:t>
            </w:r>
            <w:r>
              <w:rPr>
                <w:rFonts w:hint="eastAsia" w:ascii="宋体" w:hAnsi="宋体"/>
                <w:color w:val="000000"/>
                <w:kern w:val="0"/>
                <w:sz w:val="18"/>
                <w:szCs w:val="18"/>
              </w:rPr>
              <w:t>分）</w:t>
            </w: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一级指标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二级指标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三级指标</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指标性质</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指标值</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度量单位</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完成值</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权重</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得分</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产出指标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数量指标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项目数量</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个</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10余个</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rFonts w:hint="eastAsia"/>
                <w:color w:val="000000"/>
                <w:kern w:val="0"/>
                <w:sz w:val="18"/>
                <w:szCs w:val="18"/>
              </w:rPr>
            </w:pPr>
            <w:r>
              <w:rPr>
                <w:color w:val="000000"/>
                <w:kern w:val="0"/>
                <w:sz w:val="18"/>
                <w:szCs w:val="18"/>
              </w:rPr>
              <w:t>20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20</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成本指标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项目总成本</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81</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万元</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6"/>
                <w:szCs w:val="16"/>
              </w:rPr>
            </w:pPr>
            <w:r>
              <w:rPr>
                <w:color w:val="000000"/>
                <w:kern w:val="0"/>
                <w:sz w:val="16"/>
                <w:szCs w:val="16"/>
              </w:rPr>
              <w:t>25.79</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50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50</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效益指标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社会效益指标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城乡建设环境及生态等</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定性</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优良中低差</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　</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良</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rFonts w:hint="eastAsia"/>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8</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454"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满意度指标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服务对象满意度指标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甲方满意度</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定性</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优良中低差</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　</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良</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rFonts w:hint="eastAsia"/>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8</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285" w:hRule="atLeast"/>
        </w:trPr>
        <w:tc>
          <w:tcPr>
            <w:tcW w:w="10444"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合计</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　</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right"/>
              <w:rPr>
                <w:color w:val="000000"/>
                <w:kern w:val="0"/>
                <w:sz w:val="18"/>
                <w:szCs w:val="18"/>
              </w:rPr>
            </w:pPr>
            <w:r>
              <w:rPr>
                <w:color w:val="000000"/>
                <w:kern w:val="0"/>
                <w:sz w:val="18"/>
                <w:szCs w:val="18"/>
              </w:rPr>
              <w:t>92.8</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　</w:t>
            </w:r>
          </w:p>
        </w:tc>
      </w:tr>
      <w:tr>
        <w:tblPrEx>
          <w:tblCellMar>
            <w:top w:w="0" w:type="dxa"/>
            <w:left w:w="108" w:type="dxa"/>
            <w:bottom w:w="0" w:type="dxa"/>
            <w:right w:w="108" w:type="dxa"/>
          </w:tblCellMar>
        </w:tblPrEx>
        <w:trPr>
          <w:trHeight w:val="604"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评价结论</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6"/>
                <w:szCs w:val="16"/>
              </w:rPr>
            </w:pPr>
            <w:r>
              <w:rPr>
                <w:rFonts w:hint="eastAsia" w:ascii="宋体" w:hAnsi="宋体"/>
                <w:color w:val="000000"/>
                <w:kern w:val="0"/>
                <w:sz w:val="16"/>
                <w:szCs w:val="16"/>
              </w:rPr>
              <w:t>项目自评总分达到</w:t>
            </w:r>
            <w:r>
              <w:rPr>
                <w:color w:val="000000"/>
                <w:kern w:val="0"/>
                <w:sz w:val="16"/>
                <w:szCs w:val="16"/>
              </w:rPr>
              <w:t>92.8</w:t>
            </w:r>
            <w:r>
              <w:rPr>
                <w:rFonts w:hint="eastAsia" w:ascii="宋体" w:hAnsi="宋体"/>
                <w:color w:val="000000"/>
                <w:kern w:val="0"/>
                <w:sz w:val="16"/>
                <w:szCs w:val="16"/>
              </w:rPr>
              <w:t>分，整体预算执行情况良好，绩效指标全部达标。同时，项目产出成果既为广元、广安、德阳、眉山、内江等地海绵城市、污水垃圾三推和房屋建筑和市政设施综合风险普查、地下综合管廊建设的提供有力支撑，又为各地城市高质量建设水平的持续提升贡献显著，成效尤为突出。</w:t>
            </w:r>
          </w:p>
        </w:tc>
      </w:tr>
      <w:tr>
        <w:tblPrEx>
          <w:tblCellMar>
            <w:top w:w="0" w:type="dxa"/>
            <w:left w:w="108" w:type="dxa"/>
            <w:bottom w:w="0" w:type="dxa"/>
            <w:right w:w="108" w:type="dxa"/>
          </w:tblCellMar>
        </w:tblPrEx>
        <w:trPr>
          <w:trHeight w:val="574"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存在问题</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项目成果转化程度仍有不足，项目政策研究规划偏多，设计项目偏少。预算编制合理性不足，对市场判断不充分，导致中期调整后仍然执行率较低。</w:t>
            </w:r>
          </w:p>
        </w:tc>
      </w:tr>
      <w:tr>
        <w:tblPrEx>
          <w:tblCellMar>
            <w:top w:w="0" w:type="dxa"/>
            <w:left w:w="108" w:type="dxa"/>
            <w:bottom w:w="0" w:type="dxa"/>
            <w:right w:w="108" w:type="dxa"/>
          </w:tblCellMar>
        </w:tblPrEx>
        <w:trPr>
          <w:trHeight w:val="855"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color w:val="000000"/>
                <w:kern w:val="0"/>
                <w:sz w:val="18"/>
                <w:szCs w:val="18"/>
              </w:rPr>
            </w:pPr>
            <w:r>
              <w:rPr>
                <w:rFonts w:hint="eastAsia" w:ascii="宋体" w:hAnsi="宋体"/>
                <w:color w:val="000000"/>
                <w:kern w:val="0"/>
                <w:sz w:val="18"/>
                <w:szCs w:val="18"/>
              </w:rPr>
              <w:t>改进措施</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依托既有项目成果，总结地海绵城市、污水垃圾三推和房屋建筑和市政设施综合风险普查、地下综合管廊建设方面的建设规划经验，持续推动我省不同类型、不同地域城市高质量建设发展，因地制宜，合理确定城市建设规划策略。要加大成果转化力度，通过论文、公众号、推广视频等形式，进一步提升成果推广示范效益。要加强自身设计水平，通过落地的设计施工项目的经验，更好的为厅为对方提供市政基础设施政策研究水平。</w:t>
            </w:r>
          </w:p>
          <w:p>
            <w:pPr>
              <w:widowControl/>
              <w:jc w:val="left"/>
              <w:rPr>
                <w:rFonts w:ascii="宋体" w:hAnsi="宋体" w:cs="宋体"/>
                <w:color w:val="000000"/>
                <w:kern w:val="0"/>
                <w:sz w:val="16"/>
                <w:szCs w:val="16"/>
              </w:rPr>
            </w:pPr>
            <w:r>
              <w:rPr>
                <w:rFonts w:hint="eastAsia" w:ascii="宋体" w:hAnsi="宋体" w:cs="宋体"/>
                <w:color w:val="000000"/>
                <w:kern w:val="0"/>
                <w:sz w:val="16"/>
                <w:szCs w:val="16"/>
              </w:rPr>
              <w:t>在年度预算执行过程中，及时督促项目实现实施进度与使用资金匹配，加强对市场的预判，及时进行预算调整，充分发挥资金的效益。</w:t>
            </w:r>
          </w:p>
        </w:tc>
      </w:tr>
      <w:tr>
        <w:tblPrEx>
          <w:tblCellMar>
            <w:top w:w="0" w:type="dxa"/>
            <w:left w:w="108" w:type="dxa"/>
            <w:bottom w:w="0" w:type="dxa"/>
            <w:right w:w="108" w:type="dxa"/>
          </w:tblCellMar>
        </w:tblPrEx>
        <w:trPr>
          <w:trHeight w:val="285" w:hRule="atLeast"/>
        </w:trPr>
        <w:tc>
          <w:tcPr>
            <w:tcW w:w="7320"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黑体" w:hAnsi="黑体" w:eastAsia="黑体"/>
                <w:color w:val="000000"/>
                <w:kern w:val="0"/>
                <w:sz w:val="18"/>
                <w:szCs w:val="18"/>
              </w:rPr>
            </w:pPr>
            <w:r>
              <w:rPr>
                <w:rFonts w:hint="eastAsia" w:ascii="黑体" w:hAnsi="黑体" w:eastAsia="黑体"/>
                <w:color w:val="000000"/>
                <w:sz w:val="18"/>
                <w:szCs w:val="18"/>
              </w:rPr>
              <w:t>项目负责人：杨婧</w:t>
            </w:r>
          </w:p>
        </w:tc>
        <w:tc>
          <w:tcPr>
            <w:tcW w:w="6660" w:type="dxa"/>
            <w:gridSpan w:val="6"/>
            <w:tcBorders>
              <w:top w:val="single" w:color="000000" w:sz="4" w:space="0"/>
              <w:left w:val="nil"/>
              <w:bottom w:val="single" w:color="000000" w:sz="4" w:space="0"/>
              <w:right w:val="single" w:color="000000" w:sz="4" w:space="0"/>
            </w:tcBorders>
            <w:shd w:val="clear" w:color="auto" w:fill="auto"/>
            <w:noWrap w:val="0"/>
            <w:vAlign w:val="center"/>
          </w:tcPr>
          <w:p>
            <w:pPr>
              <w:rPr>
                <w:rFonts w:hint="eastAsia" w:ascii="黑体" w:hAnsi="黑体" w:eastAsia="黑体"/>
                <w:color w:val="000000"/>
                <w:sz w:val="18"/>
                <w:szCs w:val="18"/>
              </w:rPr>
            </w:pPr>
            <w:r>
              <w:rPr>
                <w:rFonts w:hint="eastAsia" w:ascii="黑体" w:hAnsi="黑体" w:eastAsia="黑体"/>
                <w:color w:val="000000"/>
                <w:sz w:val="18"/>
                <w:szCs w:val="18"/>
              </w:rPr>
              <w:t>财务负责人：杨猛</w:t>
            </w:r>
          </w:p>
        </w:tc>
      </w:tr>
      <w:tr>
        <w:tblPrEx>
          <w:tblCellMar>
            <w:top w:w="0" w:type="dxa"/>
            <w:left w:w="108" w:type="dxa"/>
            <w:bottom w:w="0" w:type="dxa"/>
            <w:right w:w="108" w:type="dxa"/>
          </w:tblCellMar>
        </w:tblPrEx>
        <w:trPr>
          <w:trHeight w:val="285" w:hRule="atLeast"/>
        </w:trPr>
        <w:tc>
          <w:tcPr>
            <w:tcW w:w="829" w:type="dxa"/>
            <w:tcBorders>
              <w:top w:val="nil"/>
              <w:left w:val="nil"/>
              <w:bottom w:val="nil"/>
              <w:right w:val="nil"/>
            </w:tcBorders>
            <w:shd w:val="clear" w:color="auto" w:fill="auto"/>
            <w:noWrap w:val="0"/>
            <w:vAlign w:val="center"/>
          </w:tcPr>
          <w:p>
            <w:pPr>
              <w:widowControl/>
              <w:jc w:val="left"/>
              <w:rPr>
                <w:color w:val="000000"/>
                <w:kern w:val="0"/>
                <w:sz w:val="18"/>
                <w:szCs w:val="18"/>
              </w:rPr>
            </w:pPr>
          </w:p>
        </w:tc>
        <w:tc>
          <w:tcPr>
            <w:tcW w:w="1690"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73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220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1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628" w:type="dxa"/>
            <w:gridSpan w:val="2"/>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756"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089"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1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31"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2491"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04" w:hRule="atLeast"/>
        </w:trPr>
        <w:tc>
          <w:tcPr>
            <w:tcW w:w="13980"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b/>
                <w:bCs/>
                <w:color w:val="000000"/>
                <w:kern w:val="0"/>
                <w:sz w:val="30"/>
                <w:szCs w:val="30"/>
              </w:rPr>
            </w:pPr>
            <w:r>
              <w:rPr>
                <w:rFonts w:hint="eastAsia" w:ascii="黑体" w:hAnsi="黑体" w:eastAsia="黑体"/>
                <w:b/>
                <w:bCs/>
                <w:color w:val="000000"/>
                <w:kern w:val="0"/>
                <w:sz w:val="30"/>
                <w:szCs w:val="30"/>
              </w:rPr>
              <w:t>部门预算项目支出绩效自评表（</w:t>
            </w:r>
            <w:r>
              <w:rPr>
                <w:b/>
                <w:bCs/>
                <w:color w:val="000000"/>
                <w:kern w:val="0"/>
                <w:sz w:val="30"/>
                <w:szCs w:val="30"/>
              </w:rPr>
              <w:t>2022</w:t>
            </w:r>
            <w:r>
              <w:rPr>
                <w:rFonts w:hint="eastAsia" w:ascii="黑体" w:hAnsi="黑体" w:eastAsia="黑体"/>
                <w:b/>
                <w:bCs/>
                <w:color w:val="000000"/>
                <w:kern w:val="0"/>
                <w:sz w:val="30"/>
                <w:szCs w:val="30"/>
              </w:rPr>
              <w:t>年度）</w:t>
            </w:r>
          </w:p>
        </w:tc>
      </w:tr>
      <w:tr>
        <w:tblPrEx>
          <w:tblCellMar>
            <w:top w:w="0" w:type="dxa"/>
            <w:left w:w="108" w:type="dxa"/>
            <w:bottom w:w="0" w:type="dxa"/>
            <w:right w:w="108" w:type="dxa"/>
          </w:tblCellMar>
        </w:tblPrEx>
        <w:trPr>
          <w:trHeight w:val="285"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项目名称</w:t>
            </w:r>
          </w:p>
        </w:tc>
        <w:tc>
          <w:tcPr>
            <w:tcW w:w="11461" w:type="dxa"/>
            <w:gridSpan w:val="10"/>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51000022T000000249714-</w:t>
            </w:r>
            <w:r>
              <w:rPr>
                <w:rFonts w:hint="eastAsia" w:ascii="宋体" w:hAnsi="宋体"/>
                <w:color w:val="000000"/>
                <w:kern w:val="0"/>
                <w:sz w:val="18"/>
                <w:szCs w:val="18"/>
              </w:rPr>
              <w:t>住建事业十四五规划项目（广元、内江、绵阳等地）</w:t>
            </w:r>
          </w:p>
        </w:tc>
      </w:tr>
      <w:tr>
        <w:tblPrEx>
          <w:tblCellMar>
            <w:top w:w="0" w:type="dxa"/>
            <w:left w:w="108" w:type="dxa"/>
            <w:bottom w:w="0" w:type="dxa"/>
            <w:right w:w="108" w:type="dxa"/>
          </w:tblCellMar>
        </w:tblPrEx>
        <w:trPr>
          <w:trHeight w:val="514"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主管部门</w:t>
            </w: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四川省住房和城乡建设厅部门</w:t>
            </w:r>
          </w:p>
        </w:tc>
        <w:tc>
          <w:tcPr>
            <w:tcW w:w="1089" w:type="dxa"/>
            <w:tcBorders>
              <w:top w:val="nil"/>
              <w:left w:val="nil"/>
              <w:bottom w:val="nil"/>
              <w:right w:val="nil"/>
            </w:tcBorders>
            <w:shd w:val="clear" w:color="auto" w:fill="auto"/>
            <w:noWrap w:val="0"/>
            <w:vAlign w:val="center"/>
          </w:tcPr>
          <w:p>
            <w:pPr>
              <w:widowControl/>
              <w:jc w:val="left"/>
              <w:rPr>
                <w:color w:val="000000"/>
                <w:kern w:val="0"/>
                <w:sz w:val="18"/>
                <w:szCs w:val="18"/>
              </w:rPr>
            </w:pPr>
            <w:r>
              <w:rPr>
                <w:rFonts w:hint="eastAsia" w:ascii="黑体" w:hAnsi="黑体" w:eastAsia="黑体"/>
                <w:color w:val="000000"/>
                <w:kern w:val="0"/>
                <w:sz w:val="18"/>
                <w:szCs w:val="18"/>
              </w:rPr>
              <w:t>实施单位</w:t>
            </w:r>
            <w:r>
              <w:rPr>
                <w:color w:val="000000"/>
                <w:kern w:val="0"/>
                <w:sz w:val="18"/>
                <w:szCs w:val="18"/>
              </w:rPr>
              <w:t xml:space="preserve"> </w:t>
            </w:r>
            <w:r>
              <w:rPr>
                <w:rFonts w:hint="eastAsia" w:ascii="黑体" w:hAnsi="黑体" w:eastAsia="黑体"/>
                <w:color w:val="000000"/>
                <w:kern w:val="0"/>
                <w:sz w:val="18"/>
                <w:szCs w:val="18"/>
              </w:rPr>
              <w:t>（盖章）</w:t>
            </w:r>
          </w:p>
        </w:tc>
        <w:tc>
          <w:tcPr>
            <w:tcW w:w="353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四川省城乡建设研究院</w:t>
            </w:r>
          </w:p>
        </w:tc>
      </w:tr>
      <w:tr>
        <w:tblPrEx>
          <w:tblCellMar>
            <w:top w:w="0" w:type="dxa"/>
            <w:left w:w="108" w:type="dxa"/>
            <w:bottom w:w="0" w:type="dxa"/>
            <w:right w:w="108" w:type="dxa"/>
          </w:tblCellMar>
        </w:tblPrEx>
        <w:trPr>
          <w:trHeight w:val="285"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项目基本情况</w:t>
            </w:r>
          </w:p>
        </w:tc>
        <w:tc>
          <w:tcPr>
            <w:tcW w:w="169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1.</w:t>
            </w:r>
            <w:r>
              <w:rPr>
                <w:rFonts w:hint="eastAsia" w:ascii="宋体" w:hAnsi="宋体"/>
                <w:color w:val="000000"/>
                <w:kern w:val="0"/>
                <w:sz w:val="18"/>
                <w:szCs w:val="18"/>
              </w:rPr>
              <w:t>项目年度目标完成情况</w:t>
            </w: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项目年度目标</w:t>
            </w:r>
          </w:p>
        </w:tc>
        <w:tc>
          <w:tcPr>
            <w:tcW w:w="4625"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黑体" w:hAnsi="黑体" w:eastAsia="黑体"/>
                <w:color w:val="000000"/>
                <w:kern w:val="0"/>
                <w:sz w:val="18"/>
                <w:szCs w:val="18"/>
              </w:rPr>
              <w:t>年度目标完成情况</w:t>
            </w:r>
          </w:p>
        </w:tc>
      </w:tr>
      <w:tr>
        <w:tblPrEx>
          <w:tblCellMar>
            <w:top w:w="0" w:type="dxa"/>
            <w:left w:w="108" w:type="dxa"/>
            <w:bottom w:w="0" w:type="dxa"/>
            <w:right w:w="108" w:type="dxa"/>
          </w:tblCellMar>
        </w:tblPrEx>
        <w:trPr>
          <w:trHeight w:val="1005"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根据院职能范围以及</w:t>
            </w:r>
            <w:r>
              <w:rPr>
                <w:color w:val="000000"/>
                <w:kern w:val="0"/>
                <w:sz w:val="18"/>
                <w:szCs w:val="18"/>
              </w:rPr>
              <w:t>2022</w:t>
            </w:r>
            <w:r>
              <w:rPr>
                <w:rFonts w:hint="eastAsia" w:ascii="宋体" w:hAnsi="宋体"/>
                <w:color w:val="000000"/>
                <w:kern w:val="0"/>
                <w:sz w:val="18"/>
                <w:szCs w:val="18"/>
              </w:rPr>
              <w:t>年相关技术成果转化的预计经营情况。分析十三五期间建设成就，存在不足。对十四五期间住房建设事业发展方向，主要目标，主要工作等做出研究。</w:t>
            </w:r>
          </w:p>
        </w:tc>
        <w:tc>
          <w:tcPr>
            <w:tcW w:w="4625"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2022年，按照住建厅关于住建事业十四五规划的工作安排，市政所主动承接相关项目咨询工作。先后完成内江、眉山等住建事业十四五规划规划编制工作，项目年度目标稳步实现。</w:t>
            </w:r>
          </w:p>
        </w:tc>
      </w:tr>
      <w:tr>
        <w:tblPrEx>
          <w:tblCellMar>
            <w:top w:w="0" w:type="dxa"/>
            <w:left w:w="108" w:type="dxa"/>
            <w:bottom w:w="0" w:type="dxa"/>
            <w:right w:w="108" w:type="dxa"/>
          </w:tblCellMar>
        </w:tblPrEx>
        <w:trPr>
          <w:trHeight w:val="694"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2.</w:t>
            </w:r>
            <w:r>
              <w:rPr>
                <w:rFonts w:hint="eastAsia" w:ascii="宋体" w:hAnsi="宋体"/>
                <w:color w:val="000000"/>
                <w:kern w:val="0"/>
                <w:sz w:val="18"/>
                <w:szCs w:val="18"/>
              </w:rPr>
              <w:t>项目实施内容及过程概述</w:t>
            </w:r>
          </w:p>
        </w:tc>
        <w:tc>
          <w:tcPr>
            <w:tcW w:w="11461" w:type="dxa"/>
            <w:gridSpan w:val="10"/>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项目于2022年初全面启动，工作稳步推进。项目组深入调研，结合国家省级政策要求，了解项目需求，设计解决方案，最终形成成果。主要成果包括：内江市住房和城乡建设事业“十四五”发展规划编制、眉山十四五城乡人居环境规划等。</w:t>
            </w:r>
          </w:p>
        </w:tc>
      </w:tr>
      <w:tr>
        <w:tblPrEx>
          <w:tblCellMar>
            <w:top w:w="0" w:type="dxa"/>
            <w:left w:w="108" w:type="dxa"/>
            <w:bottom w:w="0" w:type="dxa"/>
            <w:right w:w="108" w:type="dxa"/>
          </w:tblCellMar>
        </w:tblPrEx>
        <w:trPr>
          <w:trHeight w:val="360"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预算执行情况（</w:t>
            </w:r>
            <w:r>
              <w:rPr>
                <w:color w:val="000000"/>
                <w:kern w:val="0"/>
                <w:sz w:val="18"/>
                <w:szCs w:val="18"/>
              </w:rPr>
              <w:t>10</w:t>
            </w:r>
            <w:r>
              <w:rPr>
                <w:rFonts w:hint="eastAsia" w:ascii="宋体" w:hAnsi="宋体"/>
                <w:color w:val="000000"/>
                <w:kern w:val="0"/>
                <w:sz w:val="18"/>
                <w:szCs w:val="18"/>
              </w:rPr>
              <w:t>分）</w:t>
            </w: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年度预算数（万元）</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年初预算</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调整后预算数</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预算执行数</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预算执行率</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权重</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得分</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原因</w:t>
            </w:r>
          </w:p>
        </w:tc>
      </w:tr>
      <w:tr>
        <w:tblPrEx>
          <w:tblCellMar>
            <w:top w:w="0" w:type="dxa"/>
            <w:left w:w="108" w:type="dxa"/>
            <w:bottom w:w="0" w:type="dxa"/>
            <w:right w:w="108" w:type="dxa"/>
          </w:tblCellMar>
        </w:tblPrEx>
        <w:trPr>
          <w:trHeight w:val="435"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总额</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98.00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27.00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15.14</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56.08%</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5.6</w:t>
            </w:r>
          </w:p>
        </w:tc>
        <w:tc>
          <w:tcPr>
            <w:tcW w:w="2491"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黑体" w:hAnsi="黑体" w:eastAsia="黑体"/>
                <w:color w:val="000000"/>
                <w:kern w:val="0"/>
                <w:sz w:val="18"/>
                <w:szCs w:val="18"/>
                <w:lang w:eastAsia="zh-CN"/>
              </w:rPr>
            </w:pPr>
            <w:r>
              <w:rPr>
                <w:color w:val="000000"/>
                <w:kern w:val="0"/>
                <w:sz w:val="18"/>
                <w:szCs w:val="18"/>
              </w:rPr>
              <w:t>1.</w:t>
            </w:r>
            <w:r>
              <w:rPr>
                <w:rFonts w:hint="eastAsia" w:ascii="黑体" w:hAnsi="黑体" w:eastAsia="黑体"/>
                <w:color w:val="000000"/>
                <w:kern w:val="0"/>
                <w:sz w:val="18"/>
                <w:szCs w:val="18"/>
              </w:rPr>
              <w:t>预算执行率未达到</w:t>
            </w:r>
            <w:r>
              <w:rPr>
                <w:color w:val="000000"/>
                <w:kern w:val="0"/>
                <w:sz w:val="18"/>
                <w:szCs w:val="18"/>
              </w:rPr>
              <w:t>90%</w:t>
            </w:r>
            <w:r>
              <w:rPr>
                <w:rFonts w:hint="eastAsia" w:ascii="黑体" w:hAnsi="黑体" w:eastAsia="黑体"/>
                <w:color w:val="000000"/>
                <w:kern w:val="0"/>
                <w:sz w:val="18"/>
                <w:szCs w:val="18"/>
              </w:rPr>
              <w:t>的主要原因系项目收入系市场行为，无法准确预计。部分项目委托业务合同签订的支付条件与项目收款相关，故执行率偏低。</w:t>
            </w:r>
          </w:p>
          <w:p>
            <w:pPr>
              <w:widowControl/>
              <w:jc w:val="left"/>
              <w:rPr>
                <w:color w:val="000000"/>
                <w:kern w:val="0"/>
                <w:sz w:val="18"/>
                <w:szCs w:val="18"/>
              </w:rPr>
            </w:pPr>
            <w:r>
              <w:rPr>
                <w:color w:val="000000"/>
                <w:kern w:val="0"/>
                <w:sz w:val="18"/>
                <w:szCs w:val="18"/>
              </w:rPr>
              <w:t>2.</w:t>
            </w:r>
            <w:r>
              <w:rPr>
                <w:rFonts w:hint="eastAsia" w:ascii="黑体" w:hAnsi="黑体" w:eastAsia="黑体"/>
                <w:color w:val="000000"/>
                <w:kern w:val="0"/>
                <w:sz w:val="18"/>
                <w:szCs w:val="18"/>
              </w:rPr>
              <w:t>年中发生预算调减的主要原因系</w:t>
            </w:r>
            <w:r>
              <w:rPr>
                <w:color w:val="000000"/>
                <w:kern w:val="0"/>
                <w:sz w:val="18"/>
                <w:szCs w:val="18"/>
              </w:rPr>
              <w:t>,</w:t>
            </w:r>
            <w:r>
              <w:rPr>
                <w:rFonts w:hint="eastAsia" w:ascii="黑体" w:hAnsi="黑体" w:eastAsia="黑体"/>
                <w:color w:val="000000"/>
                <w:kern w:val="0"/>
                <w:sz w:val="18"/>
                <w:szCs w:val="18"/>
              </w:rPr>
              <w:t>根据市场变化，预计收入下降，且进一步加强厉行节约，项目支出得到有效控制。</w:t>
            </w:r>
          </w:p>
        </w:tc>
      </w:tr>
      <w:tr>
        <w:tblPrEx>
          <w:tblCellMar>
            <w:top w:w="0" w:type="dxa"/>
            <w:left w:w="108" w:type="dxa"/>
            <w:bottom w:w="0" w:type="dxa"/>
            <w:right w:w="108" w:type="dxa"/>
          </w:tblCellMar>
        </w:tblPrEx>
        <w:trPr>
          <w:trHeight w:val="435"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其中：财政资金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35"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财政专户管理资金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35"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单位资金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98.00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27.00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15.14</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56.08%</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35"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其他资金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54"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绩效指标（</w:t>
            </w:r>
            <w:r>
              <w:rPr>
                <w:color w:val="000000"/>
                <w:kern w:val="0"/>
                <w:sz w:val="18"/>
                <w:szCs w:val="18"/>
              </w:rPr>
              <w:t>90</w:t>
            </w:r>
            <w:r>
              <w:rPr>
                <w:rFonts w:hint="eastAsia" w:ascii="宋体" w:hAnsi="宋体"/>
                <w:color w:val="000000"/>
                <w:kern w:val="0"/>
                <w:sz w:val="18"/>
                <w:szCs w:val="18"/>
              </w:rPr>
              <w:t>分）</w:t>
            </w: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一级指标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二级指标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三级指标</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指标性质</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指标值</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度量单位</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完成值</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权重</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得分</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产出指标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数量指标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项目数量</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个</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6"/>
                <w:szCs w:val="16"/>
              </w:rPr>
            </w:pPr>
            <w:r>
              <w:rPr>
                <w:rFonts w:hint="eastAsia" w:ascii="宋体" w:hAnsi="宋体"/>
                <w:color w:val="000000"/>
                <w:kern w:val="0"/>
                <w:sz w:val="16"/>
                <w:szCs w:val="16"/>
              </w:rPr>
              <w:t>不少于</w:t>
            </w:r>
            <w:r>
              <w:rPr>
                <w:color w:val="000000"/>
                <w:kern w:val="0"/>
                <w:sz w:val="16"/>
                <w:szCs w:val="16"/>
              </w:rPr>
              <w:t>5</w:t>
            </w:r>
            <w:r>
              <w:rPr>
                <w:rFonts w:hint="eastAsia" w:ascii="宋体" w:hAnsi="宋体"/>
                <w:color w:val="000000"/>
                <w:kern w:val="0"/>
                <w:sz w:val="16"/>
                <w:szCs w:val="16"/>
              </w:rPr>
              <w:t>个</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20</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成本指标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项目总成本</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98</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万元</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6"/>
                <w:szCs w:val="16"/>
              </w:rPr>
            </w:pPr>
            <w:r>
              <w:rPr>
                <w:color w:val="000000"/>
                <w:kern w:val="0"/>
                <w:sz w:val="16"/>
                <w:szCs w:val="16"/>
              </w:rPr>
              <w:t>15.14</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50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50</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效益指标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社会效益指标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城乡建设环境及生态等</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定性</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优良中低差</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　</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良</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rFonts w:hint="eastAsia"/>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8</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454"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满意度指标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服务对象满意度指标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甲方满意度</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定性</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优良中低差</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　</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良</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rFonts w:hint="eastAsia"/>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8</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285" w:hRule="atLeast"/>
        </w:trPr>
        <w:tc>
          <w:tcPr>
            <w:tcW w:w="10444"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合计</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　</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right"/>
              <w:rPr>
                <w:color w:val="000000"/>
                <w:kern w:val="0"/>
                <w:sz w:val="18"/>
                <w:szCs w:val="18"/>
              </w:rPr>
            </w:pPr>
            <w:r>
              <w:rPr>
                <w:color w:val="000000"/>
                <w:kern w:val="0"/>
                <w:sz w:val="18"/>
                <w:szCs w:val="18"/>
              </w:rPr>
              <w:t>91.6</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　</w:t>
            </w:r>
          </w:p>
        </w:tc>
      </w:tr>
      <w:tr>
        <w:tblPrEx>
          <w:tblCellMar>
            <w:top w:w="0" w:type="dxa"/>
            <w:left w:w="108" w:type="dxa"/>
            <w:bottom w:w="0" w:type="dxa"/>
            <w:right w:w="108" w:type="dxa"/>
          </w:tblCellMar>
        </w:tblPrEx>
        <w:trPr>
          <w:trHeight w:val="604"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评价结论</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6"/>
                <w:szCs w:val="16"/>
              </w:rPr>
            </w:pPr>
            <w:r>
              <w:rPr>
                <w:rFonts w:hint="eastAsia" w:ascii="宋体" w:hAnsi="宋体"/>
                <w:color w:val="000000"/>
                <w:kern w:val="0"/>
                <w:sz w:val="16"/>
                <w:szCs w:val="16"/>
              </w:rPr>
              <w:t>项目自评总分达到</w:t>
            </w:r>
            <w:r>
              <w:rPr>
                <w:color w:val="000000"/>
                <w:kern w:val="0"/>
                <w:sz w:val="16"/>
                <w:szCs w:val="16"/>
              </w:rPr>
              <w:t>91.6</w:t>
            </w:r>
            <w:r>
              <w:rPr>
                <w:rFonts w:hint="eastAsia" w:ascii="宋体" w:hAnsi="宋体"/>
                <w:color w:val="000000"/>
                <w:kern w:val="0"/>
                <w:sz w:val="16"/>
                <w:szCs w:val="16"/>
              </w:rPr>
              <w:t>分，整体预算执行情况良好，绩效指标全部达标。同时，项目产出成果既为眉山、内江等地住建事业发展的提供有力支撑，又为各地提高城乡人居环境建设水平的持续提升贡献显著，成效尤为突出。</w:t>
            </w:r>
          </w:p>
        </w:tc>
      </w:tr>
      <w:tr>
        <w:tblPrEx>
          <w:tblCellMar>
            <w:top w:w="0" w:type="dxa"/>
            <w:left w:w="108" w:type="dxa"/>
            <w:bottom w:w="0" w:type="dxa"/>
            <w:right w:w="108" w:type="dxa"/>
          </w:tblCellMar>
        </w:tblPrEx>
        <w:trPr>
          <w:trHeight w:val="574"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存在问题</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项目成果转化程度仍有不足，建设示范效应尚未充分彰显。预算编制合理性不足，对市场判断不充分，导致中期调整后仍然执行率较低。</w:t>
            </w:r>
          </w:p>
        </w:tc>
      </w:tr>
      <w:tr>
        <w:tblPrEx>
          <w:tblCellMar>
            <w:top w:w="0" w:type="dxa"/>
            <w:left w:w="108" w:type="dxa"/>
            <w:bottom w:w="0" w:type="dxa"/>
            <w:right w:w="108" w:type="dxa"/>
          </w:tblCellMar>
        </w:tblPrEx>
        <w:trPr>
          <w:trHeight w:val="634"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color w:val="000000"/>
                <w:kern w:val="0"/>
                <w:sz w:val="18"/>
                <w:szCs w:val="18"/>
              </w:rPr>
            </w:pPr>
            <w:r>
              <w:rPr>
                <w:rFonts w:hint="eastAsia" w:ascii="宋体" w:hAnsi="宋体"/>
                <w:color w:val="000000"/>
                <w:kern w:val="0"/>
                <w:sz w:val="18"/>
                <w:szCs w:val="18"/>
              </w:rPr>
              <w:t>改进措施</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要加大成果转化力度，通过论文、公众号、推广视频等形式，进一步提升成果推广示范效益。在年度预算执行过程中，及时督促项目实现实施进度与使用资金匹配，加强对市场的预判，及时进行预算调整，充分发挥资金的效益。</w:t>
            </w:r>
          </w:p>
        </w:tc>
      </w:tr>
      <w:tr>
        <w:tblPrEx>
          <w:tblCellMar>
            <w:top w:w="0" w:type="dxa"/>
            <w:left w:w="108" w:type="dxa"/>
            <w:bottom w:w="0" w:type="dxa"/>
            <w:right w:w="108" w:type="dxa"/>
          </w:tblCellMar>
        </w:tblPrEx>
        <w:trPr>
          <w:trHeight w:val="285" w:hRule="atLeast"/>
        </w:trPr>
        <w:tc>
          <w:tcPr>
            <w:tcW w:w="7320"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黑体" w:hAnsi="黑体" w:eastAsia="黑体"/>
                <w:color w:val="000000"/>
                <w:kern w:val="0"/>
                <w:sz w:val="18"/>
                <w:szCs w:val="18"/>
              </w:rPr>
            </w:pPr>
            <w:r>
              <w:rPr>
                <w:rFonts w:hint="eastAsia" w:ascii="黑体" w:hAnsi="黑体" w:eastAsia="黑体"/>
                <w:color w:val="000000"/>
                <w:sz w:val="18"/>
                <w:szCs w:val="18"/>
              </w:rPr>
              <w:t>项目负责人：陈俊松</w:t>
            </w:r>
          </w:p>
        </w:tc>
        <w:tc>
          <w:tcPr>
            <w:tcW w:w="6660" w:type="dxa"/>
            <w:gridSpan w:val="6"/>
            <w:tcBorders>
              <w:top w:val="single" w:color="000000" w:sz="4" w:space="0"/>
              <w:left w:val="nil"/>
              <w:bottom w:val="single" w:color="000000" w:sz="4" w:space="0"/>
              <w:right w:val="single" w:color="000000" w:sz="4" w:space="0"/>
            </w:tcBorders>
            <w:shd w:val="clear" w:color="auto" w:fill="auto"/>
            <w:noWrap w:val="0"/>
            <w:vAlign w:val="center"/>
          </w:tcPr>
          <w:p>
            <w:pPr>
              <w:rPr>
                <w:rFonts w:hint="eastAsia" w:ascii="黑体" w:hAnsi="黑体" w:eastAsia="黑体"/>
                <w:color w:val="000000"/>
                <w:sz w:val="18"/>
                <w:szCs w:val="18"/>
              </w:rPr>
            </w:pPr>
            <w:r>
              <w:rPr>
                <w:rFonts w:hint="eastAsia" w:ascii="黑体" w:hAnsi="黑体" w:eastAsia="黑体"/>
                <w:color w:val="000000"/>
                <w:sz w:val="18"/>
                <w:szCs w:val="18"/>
              </w:rPr>
              <w:t>财务负责人：杨猛</w:t>
            </w:r>
          </w:p>
        </w:tc>
      </w:tr>
      <w:tr>
        <w:tblPrEx>
          <w:tblCellMar>
            <w:top w:w="0" w:type="dxa"/>
            <w:left w:w="108" w:type="dxa"/>
            <w:bottom w:w="0" w:type="dxa"/>
            <w:right w:w="108" w:type="dxa"/>
          </w:tblCellMar>
        </w:tblPrEx>
        <w:trPr>
          <w:trHeight w:val="285" w:hRule="atLeast"/>
        </w:trPr>
        <w:tc>
          <w:tcPr>
            <w:tcW w:w="829" w:type="dxa"/>
            <w:tcBorders>
              <w:top w:val="nil"/>
              <w:left w:val="nil"/>
              <w:bottom w:val="nil"/>
              <w:right w:val="nil"/>
            </w:tcBorders>
            <w:shd w:val="clear" w:color="auto" w:fill="auto"/>
            <w:noWrap w:val="0"/>
            <w:vAlign w:val="center"/>
          </w:tcPr>
          <w:p>
            <w:pPr>
              <w:widowControl/>
              <w:jc w:val="left"/>
              <w:rPr>
                <w:color w:val="000000"/>
                <w:kern w:val="0"/>
                <w:sz w:val="18"/>
                <w:szCs w:val="18"/>
              </w:rPr>
            </w:pPr>
          </w:p>
        </w:tc>
        <w:tc>
          <w:tcPr>
            <w:tcW w:w="1690"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73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220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1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628" w:type="dxa"/>
            <w:gridSpan w:val="2"/>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756"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089"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1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31"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2491"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04" w:hRule="atLeast"/>
        </w:trPr>
        <w:tc>
          <w:tcPr>
            <w:tcW w:w="13980"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b/>
                <w:bCs/>
                <w:color w:val="000000"/>
                <w:kern w:val="0"/>
                <w:sz w:val="30"/>
                <w:szCs w:val="30"/>
              </w:rPr>
            </w:pPr>
            <w:r>
              <w:rPr>
                <w:rFonts w:hint="eastAsia" w:ascii="黑体" w:hAnsi="黑体" w:eastAsia="黑体"/>
                <w:b/>
                <w:bCs/>
                <w:color w:val="000000"/>
                <w:kern w:val="0"/>
                <w:sz w:val="30"/>
                <w:szCs w:val="30"/>
              </w:rPr>
              <w:t>部门预算项目支出绩效自评表（</w:t>
            </w:r>
            <w:r>
              <w:rPr>
                <w:b/>
                <w:bCs/>
                <w:color w:val="000000"/>
                <w:kern w:val="0"/>
                <w:sz w:val="30"/>
                <w:szCs w:val="30"/>
              </w:rPr>
              <w:t>2022</w:t>
            </w:r>
            <w:r>
              <w:rPr>
                <w:rFonts w:hint="eastAsia" w:ascii="黑体" w:hAnsi="黑体" w:eastAsia="黑体"/>
                <w:b/>
                <w:bCs/>
                <w:color w:val="000000"/>
                <w:kern w:val="0"/>
                <w:sz w:val="30"/>
                <w:szCs w:val="30"/>
              </w:rPr>
              <w:t>年度）</w:t>
            </w:r>
          </w:p>
        </w:tc>
      </w:tr>
      <w:tr>
        <w:tblPrEx>
          <w:tblCellMar>
            <w:top w:w="0" w:type="dxa"/>
            <w:left w:w="108" w:type="dxa"/>
            <w:bottom w:w="0" w:type="dxa"/>
            <w:right w:w="108" w:type="dxa"/>
          </w:tblCellMar>
        </w:tblPrEx>
        <w:trPr>
          <w:trHeight w:val="285"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项目名称</w:t>
            </w:r>
          </w:p>
        </w:tc>
        <w:tc>
          <w:tcPr>
            <w:tcW w:w="11461" w:type="dxa"/>
            <w:gridSpan w:val="10"/>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51000022T000000249716-</w:t>
            </w:r>
            <w:r>
              <w:rPr>
                <w:rFonts w:hint="eastAsia" w:ascii="宋体" w:hAnsi="宋体"/>
                <w:color w:val="000000"/>
                <w:kern w:val="0"/>
                <w:sz w:val="18"/>
                <w:szCs w:val="18"/>
              </w:rPr>
              <w:t>城市（国土）规划项目</w:t>
            </w:r>
          </w:p>
        </w:tc>
      </w:tr>
      <w:tr>
        <w:tblPrEx>
          <w:tblCellMar>
            <w:top w:w="0" w:type="dxa"/>
            <w:left w:w="108" w:type="dxa"/>
            <w:bottom w:w="0" w:type="dxa"/>
            <w:right w:w="108" w:type="dxa"/>
          </w:tblCellMar>
        </w:tblPrEx>
        <w:trPr>
          <w:trHeight w:val="514"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主管部门</w:t>
            </w: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四川省住房和城乡建设厅部门</w:t>
            </w:r>
          </w:p>
        </w:tc>
        <w:tc>
          <w:tcPr>
            <w:tcW w:w="1089" w:type="dxa"/>
            <w:tcBorders>
              <w:top w:val="nil"/>
              <w:left w:val="nil"/>
              <w:bottom w:val="nil"/>
              <w:right w:val="nil"/>
            </w:tcBorders>
            <w:shd w:val="clear" w:color="auto" w:fill="auto"/>
            <w:noWrap w:val="0"/>
            <w:vAlign w:val="center"/>
          </w:tcPr>
          <w:p>
            <w:pPr>
              <w:widowControl/>
              <w:jc w:val="left"/>
              <w:rPr>
                <w:color w:val="000000"/>
                <w:kern w:val="0"/>
                <w:sz w:val="18"/>
                <w:szCs w:val="18"/>
              </w:rPr>
            </w:pPr>
            <w:r>
              <w:rPr>
                <w:rFonts w:hint="eastAsia" w:ascii="黑体" w:hAnsi="黑体" w:eastAsia="黑体"/>
                <w:color w:val="000000"/>
                <w:kern w:val="0"/>
                <w:sz w:val="18"/>
                <w:szCs w:val="18"/>
              </w:rPr>
              <w:t>实施单位</w:t>
            </w:r>
            <w:r>
              <w:rPr>
                <w:color w:val="000000"/>
                <w:kern w:val="0"/>
                <w:sz w:val="18"/>
                <w:szCs w:val="18"/>
              </w:rPr>
              <w:t xml:space="preserve"> </w:t>
            </w:r>
            <w:r>
              <w:rPr>
                <w:rFonts w:hint="eastAsia" w:ascii="黑体" w:hAnsi="黑体" w:eastAsia="黑体"/>
                <w:color w:val="000000"/>
                <w:kern w:val="0"/>
                <w:sz w:val="18"/>
                <w:szCs w:val="18"/>
              </w:rPr>
              <w:t>（盖章）</w:t>
            </w:r>
          </w:p>
        </w:tc>
        <w:tc>
          <w:tcPr>
            <w:tcW w:w="353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四川省城乡建设研究院</w:t>
            </w:r>
          </w:p>
        </w:tc>
      </w:tr>
      <w:tr>
        <w:tblPrEx>
          <w:tblCellMar>
            <w:top w:w="0" w:type="dxa"/>
            <w:left w:w="108" w:type="dxa"/>
            <w:bottom w:w="0" w:type="dxa"/>
            <w:right w:w="108" w:type="dxa"/>
          </w:tblCellMar>
        </w:tblPrEx>
        <w:trPr>
          <w:trHeight w:val="285"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项目基本情况</w:t>
            </w:r>
          </w:p>
        </w:tc>
        <w:tc>
          <w:tcPr>
            <w:tcW w:w="169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1.</w:t>
            </w:r>
            <w:r>
              <w:rPr>
                <w:rFonts w:hint="eastAsia" w:ascii="宋体" w:hAnsi="宋体"/>
                <w:color w:val="000000"/>
                <w:kern w:val="0"/>
                <w:sz w:val="18"/>
                <w:szCs w:val="18"/>
              </w:rPr>
              <w:t>项目年度目标完成情况</w:t>
            </w: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项目年度目标</w:t>
            </w:r>
          </w:p>
        </w:tc>
        <w:tc>
          <w:tcPr>
            <w:tcW w:w="4625"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黑体" w:hAnsi="黑体" w:eastAsia="黑体"/>
                <w:color w:val="000000"/>
                <w:kern w:val="0"/>
                <w:sz w:val="18"/>
                <w:szCs w:val="18"/>
              </w:rPr>
              <w:t>年度目标完成情况</w:t>
            </w:r>
          </w:p>
        </w:tc>
      </w:tr>
      <w:tr>
        <w:tblPrEx>
          <w:tblCellMar>
            <w:top w:w="0" w:type="dxa"/>
            <w:left w:w="108" w:type="dxa"/>
            <w:bottom w:w="0" w:type="dxa"/>
            <w:right w:w="108" w:type="dxa"/>
          </w:tblCellMar>
        </w:tblPrEx>
        <w:trPr>
          <w:trHeight w:val="1230"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根据院职能范围以及</w:t>
            </w:r>
            <w:r>
              <w:rPr>
                <w:color w:val="000000"/>
                <w:kern w:val="0"/>
                <w:sz w:val="18"/>
                <w:szCs w:val="18"/>
              </w:rPr>
              <w:t>2022</w:t>
            </w:r>
            <w:r>
              <w:rPr>
                <w:rFonts w:hint="eastAsia" w:ascii="宋体" w:hAnsi="宋体"/>
                <w:color w:val="000000"/>
                <w:kern w:val="0"/>
                <w:sz w:val="18"/>
                <w:szCs w:val="18"/>
              </w:rPr>
              <w:t>年相关技术成果转化的预计经营情况。现场调研，精确测量，用地布局调整，道路交通体系调整、竖向规划调整，地下管网规划，基础设施一张蓝图等。</w:t>
            </w:r>
          </w:p>
        </w:tc>
        <w:tc>
          <w:tcPr>
            <w:tcW w:w="4625"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2022年完成国土空间规划专题报告、修建性详细规划、控制性详细规划、历史文化街区详细规划设计、市政管网专项规划、城市更新、灾后重建实施方案等项目，丰富拓宽了业务经营范围。</w:t>
            </w:r>
          </w:p>
        </w:tc>
      </w:tr>
      <w:tr>
        <w:tblPrEx>
          <w:tblCellMar>
            <w:top w:w="0" w:type="dxa"/>
            <w:left w:w="108" w:type="dxa"/>
            <w:bottom w:w="0" w:type="dxa"/>
            <w:right w:w="108" w:type="dxa"/>
          </w:tblCellMar>
        </w:tblPrEx>
        <w:trPr>
          <w:trHeight w:val="694"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2.</w:t>
            </w:r>
            <w:r>
              <w:rPr>
                <w:rFonts w:hint="eastAsia" w:ascii="宋体" w:hAnsi="宋体"/>
                <w:color w:val="000000"/>
                <w:kern w:val="0"/>
                <w:sz w:val="18"/>
                <w:szCs w:val="18"/>
              </w:rPr>
              <w:t>项目实施内容及过程概述</w:t>
            </w:r>
          </w:p>
        </w:tc>
        <w:tc>
          <w:tcPr>
            <w:tcW w:w="11461" w:type="dxa"/>
            <w:gridSpan w:val="10"/>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项目主要分布于达州、广元、泸州、内江等地，项目组深入调研，了解项目需求，设计解决方案，最终形成成果。主要成果包括：广元市三江新区安全坝片区修建性详细规划、老泸州历史文化街区详细规划设计、绵竹乡镇片区市政设施专项规划、内江市中区国土空间规划城乡融合专题等。</w:t>
            </w:r>
          </w:p>
        </w:tc>
      </w:tr>
      <w:tr>
        <w:tblPrEx>
          <w:tblCellMar>
            <w:top w:w="0" w:type="dxa"/>
            <w:left w:w="108" w:type="dxa"/>
            <w:bottom w:w="0" w:type="dxa"/>
            <w:right w:w="108" w:type="dxa"/>
          </w:tblCellMar>
        </w:tblPrEx>
        <w:trPr>
          <w:trHeight w:val="360"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预算执行情况（</w:t>
            </w:r>
            <w:r>
              <w:rPr>
                <w:color w:val="000000"/>
                <w:kern w:val="0"/>
                <w:sz w:val="18"/>
                <w:szCs w:val="18"/>
              </w:rPr>
              <w:t>10</w:t>
            </w:r>
            <w:r>
              <w:rPr>
                <w:rFonts w:hint="eastAsia" w:ascii="宋体" w:hAnsi="宋体"/>
                <w:color w:val="000000"/>
                <w:kern w:val="0"/>
                <w:sz w:val="18"/>
                <w:szCs w:val="18"/>
              </w:rPr>
              <w:t>分）</w:t>
            </w: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年度预算数（万元）</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年初预算</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调整后预算数</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预算执行数</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预算执行率</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权重</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得分</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总额</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90.00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39.00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35.86</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91.95%</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9.2</w:t>
            </w:r>
          </w:p>
        </w:tc>
        <w:tc>
          <w:tcPr>
            <w:tcW w:w="2491"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年中发生预算调减的主要原因系</w:t>
            </w:r>
            <w:r>
              <w:rPr>
                <w:color w:val="000000"/>
                <w:kern w:val="0"/>
                <w:sz w:val="18"/>
                <w:szCs w:val="18"/>
              </w:rPr>
              <w:t>,</w:t>
            </w:r>
            <w:r>
              <w:rPr>
                <w:rFonts w:hint="eastAsia" w:ascii="宋体" w:hAnsi="宋体"/>
                <w:color w:val="000000"/>
                <w:kern w:val="0"/>
                <w:sz w:val="18"/>
                <w:szCs w:val="18"/>
              </w:rPr>
              <w:t>根据市场变化，预计收入下降，且进一步加强厉行节约，项目支出得到有效控制。</w:t>
            </w:r>
          </w:p>
        </w:tc>
      </w:tr>
      <w:tr>
        <w:tblPrEx>
          <w:tblCellMar>
            <w:top w:w="0" w:type="dxa"/>
            <w:left w:w="108" w:type="dxa"/>
            <w:bottom w:w="0" w:type="dxa"/>
            <w:right w:w="108" w:type="dxa"/>
          </w:tblCellMar>
        </w:tblPrEx>
        <w:trPr>
          <w:trHeight w:val="432"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其中：财政资金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47"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财政专户管理资金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02"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单位资金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90.00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39.00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35.86</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91.95%</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379"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其他资金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54"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绩效指标（</w:t>
            </w:r>
            <w:r>
              <w:rPr>
                <w:color w:val="000000"/>
                <w:kern w:val="0"/>
                <w:sz w:val="18"/>
                <w:szCs w:val="18"/>
              </w:rPr>
              <w:t>90</w:t>
            </w:r>
            <w:r>
              <w:rPr>
                <w:rFonts w:hint="eastAsia" w:ascii="宋体" w:hAnsi="宋体"/>
                <w:color w:val="000000"/>
                <w:kern w:val="0"/>
                <w:sz w:val="18"/>
                <w:szCs w:val="18"/>
              </w:rPr>
              <w:t>分）</w:t>
            </w: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一级指标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二级指标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三级指标</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指标性质</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指标值</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度量单位</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完成值</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权重</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得分</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产出指标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数量指标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项目数量</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个</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4</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20</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成本指标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项目总成本</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90</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万元</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35.86</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50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50</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效益指标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社会效益指标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城乡建设环境及生态等</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定性</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优良中低差</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　</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宋体"/>
                <w:i/>
                <w:iCs/>
                <w:color w:val="000000"/>
                <w:kern w:val="0"/>
                <w:sz w:val="16"/>
                <w:szCs w:val="16"/>
              </w:rPr>
            </w:pPr>
            <w:r>
              <w:rPr>
                <w:rFonts w:hint="eastAsia" w:ascii="宋体" w:hAnsi="宋体" w:cs="宋体"/>
                <w:i/>
                <w:iCs/>
                <w:color w:val="000000"/>
                <w:kern w:val="0"/>
                <w:sz w:val="16"/>
                <w:szCs w:val="16"/>
              </w:rPr>
              <w:t>良</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rFonts w:hint="eastAsia"/>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8</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454"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满意度指标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服务对象满意度指标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甲方满意度</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定性</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优良中低差</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　</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宋体"/>
                <w:i/>
                <w:iCs/>
                <w:color w:val="000000"/>
                <w:kern w:val="0"/>
                <w:sz w:val="16"/>
                <w:szCs w:val="16"/>
              </w:rPr>
            </w:pPr>
            <w:r>
              <w:rPr>
                <w:rFonts w:hint="eastAsia" w:ascii="宋体" w:hAnsi="宋体" w:cs="宋体"/>
                <w:i/>
                <w:iCs/>
                <w:color w:val="000000"/>
                <w:kern w:val="0"/>
                <w:sz w:val="16"/>
                <w:szCs w:val="16"/>
              </w:rPr>
              <w:t>良</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rFonts w:hint="eastAsia"/>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8</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285" w:hRule="atLeast"/>
        </w:trPr>
        <w:tc>
          <w:tcPr>
            <w:tcW w:w="10444"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合计</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　</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color w:val="000000"/>
                <w:kern w:val="0"/>
                <w:sz w:val="18"/>
                <w:szCs w:val="18"/>
              </w:rPr>
              <w:t>9</w:t>
            </w:r>
            <w:r>
              <w:rPr>
                <w:color w:val="000000"/>
                <w:kern w:val="0"/>
                <w:sz w:val="18"/>
                <w:szCs w:val="18"/>
              </w:rPr>
              <w:t>5.2</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　</w:t>
            </w:r>
          </w:p>
        </w:tc>
      </w:tr>
      <w:tr>
        <w:tblPrEx>
          <w:tblCellMar>
            <w:top w:w="0" w:type="dxa"/>
            <w:left w:w="108" w:type="dxa"/>
            <w:bottom w:w="0" w:type="dxa"/>
            <w:right w:w="108" w:type="dxa"/>
          </w:tblCellMar>
        </w:tblPrEx>
        <w:trPr>
          <w:trHeight w:val="604"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评价结论</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6"/>
                <w:szCs w:val="16"/>
              </w:rPr>
            </w:pPr>
            <w:r>
              <w:rPr>
                <w:color w:val="000000"/>
                <w:kern w:val="0"/>
                <w:sz w:val="16"/>
                <w:szCs w:val="16"/>
              </w:rPr>
              <w:t>预算执行情况良好，绩效指标达标。项目地点涉及达州、广元、泸州、内江等多个地区，为下一步成果转换打下了基础。</w:t>
            </w:r>
          </w:p>
        </w:tc>
      </w:tr>
      <w:tr>
        <w:tblPrEx>
          <w:tblCellMar>
            <w:top w:w="0" w:type="dxa"/>
            <w:left w:w="108" w:type="dxa"/>
            <w:bottom w:w="0" w:type="dxa"/>
            <w:right w:w="108" w:type="dxa"/>
          </w:tblCellMar>
        </w:tblPrEx>
        <w:trPr>
          <w:trHeight w:val="574"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存在问题</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项目成果转化程度仍有不足，示范效应尚未充分彰显。预算编制合理性不足，对市场判断不充分，导致中期调整后仍然执行率较低。</w:t>
            </w:r>
          </w:p>
        </w:tc>
      </w:tr>
      <w:tr>
        <w:tblPrEx>
          <w:tblCellMar>
            <w:top w:w="0" w:type="dxa"/>
            <w:left w:w="108" w:type="dxa"/>
            <w:bottom w:w="0" w:type="dxa"/>
            <w:right w:w="108" w:type="dxa"/>
          </w:tblCellMar>
        </w:tblPrEx>
        <w:trPr>
          <w:trHeight w:val="634"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color w:val="000000"/>
                <w:kern w:val="0"/>
                <w:sz w:val="18"/>
                <w:szCs w:val="18"/>
              </w:rPr>
            </w:pPr>
            <w:r>
              <w:rPr>
                <w:rFonts w:hint="eastAsia" w:ascii="宋体" w:hAnsi="宋体"/>
                <w:color w:val="000000"/>
                <w:kern w:val="0"/>
                <w:sz w:val="18"/>
                <w:szCs w:val="18"/>
              </w:rPr>
              <w:t>改进措施</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依托既有项目成果，总结经验，提升学习创新能了，继续推动想项目转化。在年度预算执行过程中，及时督促项目实现实施进度与使用资金匹配，加强对市场的预判，及时进行预算调整，充分发挥资金的效益。</w:t>
            </w:r>
          </w:p>
        </w:tc>
      </w:tr>
      <w:tr>
        <w:tblPrEx>
          <w:tblCellMar>
            <w:top w:w="0" w:type="dxa"/>
            <w:left w:w="108" w:type="dxa"/>
            <w:bottom w:w="0" w:type="dxa"/>
            <w:right w:w="108" w:type="dxa"/>
          </w:tblCellMar>
        </w:tblPrEx>
        <w:trPr>
          <w:trHeight w:val="285" w:hRule="atLeast"/>
        </w:trPr>
        <w:tc>
          <w:tcPr>
            <w:tcW w:w="7320"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黑体" w:hAnsi="黑体" w:eastAsia="黑体"/>
                <w:color w:val="000000"/>
                <w:kern w:val="0"/>
                <w:sz w:val="18"/>
                <w:szCs w:val="18"/>
              </w:rPr>
            </w:pPr>
            <w:r>
              <w:rPr>
                <w:rFonts w:hint="eastAsia" w:ascii="黑体" w:hAnsi="黑体" w:eastAsia="黑体"/>
                <w:color w:val="000000"/>
                <w:sz w:val="18"/>
                <w:szCs w:val="18"/>
              </w:rPr>
              <w:t>项目负责人：陈俊松</w:t>
            </w:r>
          </w:p>
        </w:tc>
        <w:tc>
          <w:tcPr>
            <w:tcW w:w="6660" w:type="dxa"/>
            <w:gridSpan w:val="6"/>
            <w:tcBorders>
              <w:top w:val="single" w:color="000000" w:sz="4" w:space="0"/>
              <w:left w:val="nil"/>
              <w:bottom w:val="single" w:color="000000" w:sz="4" w:space="0"/>
              <w:right w:val="single" w:color="000000" w:sz="4" w:space="0"/>
            </w:tcBorders>
            <w:shd w:val="clear" w:color="auto" w:fill="auto"/>
            <w:noWrap w:val="0"/>
            <w:vAlign w:val="center"/>
          </w:tcPr>
          <w:p>
            <w:pPr>
              <w:rPr>
                <w:rFonts w:hint="eastAsia" w:ascii="黑体" w:hAnsi="黑体" w:eastAsia="黑体"/>
                <w:color w:val="000000"/>
                <w:sz w:val="18"/>
                <w:szCs w:val="18"/>
              </w:rPr>
            </w:pPr>
            <w:r>
              <w:rPr>
                <w:rFonts w:hint="eastAsia" w:ascii="黑体" w:hAnsi="黑体" w:eastAsia="黑体"/>
                <w:color w:val="000000"/>
                <w:sz w:val="18"/>
                <w:szCs w:val="18"/>
              </w:rPr>
              <w:t>财务负责人：杨猛</w:t>
            </w:r>
          </w:p>
        </w:tc>
      </w:tr>
      <w:tr>
        <w:tblPrEx>
          <w:tblCellMar>
            <w:top w:w="0" w:type="dxa"/>
            <w:left w:w="108" w:type="dxa"/>
            <w:bottom w:w="0" w:type="dxa"/>
            <w:right w:w="108" w:type="dxa"/>
          </w:tblCellMar>
        </w:tblPrEx>
        <w:trPr>
          <w:trHeight w:val="285" w:hRule="atLeast"/>
        </w:trPr>
        <w:tc>
          <w:tcPr>
            <w:tcW w:w="829" w:type="dxa"/>
            <w:tcBorders>
              <w:top w:val="nil"/>
              <w:left w:val="nil"/>
              <w:bottom w:val="nil"/>
              <w:right w:val="nil"/>
            </w:tcBorders>
            <w:shd w:val="clear" w:color="auto" w:fill="auto"/>
            <w:noWrap w:val="0"/>
            <w:vAlign w:val="center"/>
          </w:tcPr>
          <w:p>
            <w:pPr>
              <w:widowControl/>
              <w:jc w:val="left"/>
              <w:rPr>
                <w:color w:val="000000"/>
                <w:kern w:val="0"/>
                <w:sz w:val="18"/>
                <w:szCs w:val="18"/>
              </w:rPr>
            </w:pPr>
          </w:p>
        </w:tc>
        <w:tc>
          <w:tcPr>
            <w:tcW w:w="1690"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73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220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1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628" w:type="dxa"/>
            <w:gridSpan w:val="2"/>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756"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089"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1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31"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2491"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04" w:hRule="atLeast"/>
        </w:trPr>
        <w:tc>
          <w:tcPr>
            <w:tcW w:w="13980"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b/>
                <w:bCs/>
                <w:color w:val="000000"/>
                <w:kern w:val="0"/>
                <w:sz w:val="30"/>
                <w:szCs w:val="30"/>
              </w:rPr>
            </w:pPr>
            <w:r>
              <w:rPr>
                <w:rFonts w:hint="eastAsia" w:ascii="黑体" w:hAnsi="黑体" w:eastAsia="黑体"/>
                <w:b/>
                <w:bCs/>
                <w:color w:val="000000"/>
                <w:kern w:val="0"/>
                <w:sz w:val="30"/>
                <w:szCs w:val="30"/>
              </w:rPr>
              <w:t>部门预算项目支出绩效自评表（</w:t>
            </w:r>
            <w:r>
              <w:rPr>
                <w:b/>
                <w:bCs/>
                <w:color w:val="000000"/>
                <w:kern w:val="0"/>
                <w:sz w:val="30"/>
                <w:szCs w:val="30"/>
              </w:rPr>
              <w:t>2022</w:t>
            </w:r>
            <w:r>
              <w:rPr>
                <w:rFonts w:hint="eastAsia" w:ascii="黑体" w:hAnsi="黑体" w:eastAsia="黑体"/>
                <w:b/>
                <w:bCs/>
                <w:color w:val="000000"/>
                <w:kern w:val="0"/>
                <w:sz w:val="30"/>
                <w:szCs w:val="30"/>
              </w:rPr>
              <w:t>年度）</w:t>
            </w:r>
          </w:p>
        </w:tc>
      </w:tr>
      <w:tr>
        <w:tblPrEx>
          <w:tblCellMar>
            <w:top w:w="0" w:type="dxa"/>
            <w:left w:w="108" w:type="dxa"/>
            <w:bottom w:w="0" w:type="dxa"/>
            <w:right w:w="108" w:type="dxa"/>
          </w:tblCellMar>
        </w:tblPrEx>
        <w:trPr>
          <w:trHeight w:val="285"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项目名称</w:t>
            </w:r>
          </w:p>
        </w:tc>
        <w:tc>
          <w:tcPr>
            <w:tcW w:w="11461" w:type="dxa"/>
            <w:gridSpan w:val="10"/>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51000022T000000249720-</w:t>
            </w:r>
            <w:r>
              <w:rPr>
                <w:rFonts w:hint="eastAsia" w:ascii="宋体" w:hAnsi="宋体"/>
                <w:color w:val="000000"/>
                <w:kern w:val="0"/>
                <w:sz w:val="18"/>
                <w:szCs w:val="18"/>
              </w:rPr>
              <w:t>城市体检评估</w:t>
            </w:r>
          </w:p>
        </w:tc>
      </w:tr>
      <w:tr>
        <w:tblPrEx>
          <w:tblCellMar>
            <w:top w:w="0" w:type="dxa"/>
            <w:left w:w="108" w:type="dxa"/>
            <w:bottom w:w="0" w:type="dxa"/>
            <w:right w:w="108" w:type="dxa"/>
          </w:tblCellMar>
        </w:tblPrEx>
        <w:trPr>
          <w:trHeight w:val="514"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主管部门</w:t>
            </w: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四川省住房和城乡建设厅部门</w:t>
            </w:r>
          </w:p>
        </w:tc>
        <w:tc>
          <w:tcPr>
            <w:tcW w:w="1089" w:type="dxa"/>
            <w:tcBorders>
              <w:top w:val="nil"/>
              <w:left w:val="nil"/>
              <w:bottom w:val="nil"/>
              <w:right w:val="nil"/>
            </w:tcBorders>
            <w:shd w:val="clear" w:color="auto" w:fill="auto"/>
            <w:noWrap w:val="0"/>
            <w:vAlign w:val="center"/>
          </w:tcPr>
          <w:p>
            <w:pPr>
              <w:widowControl/>
              <w:jc w:val="left"/>
              <w:rPr>
                <w:color w:val="000000"/>
                <w:kern w:val="0"/>
                <w:sz w:val="18"/>
                <w:szCs w:val="18"/>
              </w:rPr>
            </w:pPr>
            <w:r>
              <w:rPr>
                <w:rFonts w:hint="eastAsia" w:ascii="黑体" w:hAnsi="黑体" w:eastAsia="黑体"/>
                <w:color w:val="000000"/>
                <w:kern w:val="0"/>
                <w:sz w:val="18"/>
                <w:szCs w:val="18"/>
              </w:rPr>
              <w:t>实施单位</w:t>
            </w:r>
            <w:r>
              <w:rPr>
                <w:color w:val="000000"/>
                <w:kern w:val="0"/>
                <w:sz w:val="18"/>
                <w:szCs w:val="18"/>
              </w:rPr>
              <w:t xml:space="preserve"> </w:t>
            </w:r>
            <w:r>
              <w:rPr>
                <w:rFonts w:hint="eastAsia" w:ascii="黑体" w:hAnsi="黑体" w:eastAsia="黑体"/>
                <w:color w:val="000000"/>
                <w:kern w:val="0"/>
                <w:sz w:val="18"/>
                <w:szCs w:val="18"/>
              </w:rPr>
              <w:t>（盖章）</w:t>
            </w:r>
          </w:p>
        </w:tc>
        <w:tc>
          <w:tcPr>
            <w:tcW w:w="353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四川省城乡建设研究院</w:t>
            </w:r>
          </w:p>
        </w:tc>
      </w:tr>
      <w:tr>
        <w:tblPrEx>
          <w:tblCellMar>
            <w:top w:w="0" w:type="dxa"/>
            <w:left w:w="108" w:type="dxa"/>
            <w:bottom w:w="0" w:type="dxa"/>
            <w:right w:w="108" w:type="dxa"/>
          </w:tblCellMar>
        </w:tblPrEx>
        <w:trPr>
          <w:trHeight w:val="285"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项目基本情况</w:t>
            </w:r>
          </w:p>
        </w:tc>
        <w:tc>
          <w:tcPr>
            <w:tcW w:w="169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1.</w:t>
            </w:r>
            <w:r>
              <w:rPr>
                <w:rFonts w:hint="eastAsia" w:ascii="宋体" w:hAnsi="宋体"/>
                <w:color w:val="000000"/>
                <w:kern w:val="0"/>
                <w:sz w:val="18"/>
                <w:szCs w:val="18"/>
              </w:rPr>
              <w:t>项目年度目标完成情况</w:t>
            </w: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项目年度目标</w:t>
            </w:r>
          </w:p>
        </w:tc>
        <w:tc>
          <w:tcPr>
            <w:tcW w:w="4625"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黑体" w:hAnsi="黑体" w:eastAsia="黑体"/>
                <w:color w:val="000000"/>
                <w:kern w:val="0"/>
                <w:sz w:val="18"/>
                <w:szCs w:val="18"/>
              </w:rPr>
              <w:t>年度目标完成情况</w:t>
            </w:r>
          </w:p>
        </w:tc>
      </w:tr>
      <w:tr>
        <w:tblPrEx>
          <w:tblCellMar>
            <w:top w:w="0" w:type="dxa"/>
            <w:left w:w="108" w:type="dxa"/>
            <w:bottom w:w="0" w:type="dxa"/>
            <w:right w:w="108" w:type="dxa"/>
          </w:tblCellMar>
        </w:tblPrEx>
        <w:trPr>
          <w:trHeight w:val="180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olor w:val="000000"/>
                <w:kern w:val="0"/>
                <w:sz w:val="18"/>
                <w:szCs w:val="18"/>
                <w:lang w:eastAsia="zh-CN"/>
              </w:rPr>
            </w:pPr>
            <w:r>
              <w:rPr>
                <w:color w:val="000000"/>
                <w:kern w:val="0"/>
                <w:sz w:val="18"/>
                <w:szCs w:val="18"/>
              </w:rPr>
              <w:t>1.</w:t>
            </w:r>
            <w:r>
              <w:rPr>
                <w:rFonts w:hint="eastAsia" w:ascii="宋体" w:hAnsi="宋体"/>
                <w:color w:val="000000"/>
                <w:kern w:val="0"/>
                <w:sz w:val="18"/>
                <w:szCs w:val="18"/>
              </w:rPr>
              <w:t>按照《四川省</w:t>
            </w:r>
            <w:r>
              <w:rPr>
                <w:color w:val="000000"/>
                <w:kern w:val="0"/>
                <w:sz w:val="18"/>
                <w:szCs w:val="18"/>
              </w:rPr>
              <w:t>2021</w:t>
            </w:r>
            <w:r>
              <w:rPr>
                <w:rFonts w:hint="eastAsia" w:ascii="宋体" w:hAnsi="宋体"/>
                <w:color w:val="000000"/>
                <w:kern w:val="0"/>
                <w:sz w:val="18"/>
                <w:szCs w:val="18"/>
              </w:rPr>
              <w:t>年城市体检基础指标体系一览表》，配合地方人民政府编制年度城市自体检报告</w:t>
            </w:r>
          </w:p>
          <w:p>
            <w:pPr>
              <w:widowControl/>
              <w:jc w:val="left"/>
              <w:rPr>
                <w:rFonts w:hint="eastAsia" w:ascii="宋体" w:hAnsi="宋体" w:eastAsia="宋体"/>
                <w:color w:val="000000"/>
                <w:kern w:val="0"/>
                <w:sz w:val="18"/>
                <w:szCs w:val="18"/>
                <w:lang w:eastAsia="zh-CN"/>
              </w:rPr>
            </w:pPr>
            <w:r>
              <w:rPr>
                <w:color w:val="000000"/>
                <w:kern w:val="0"/>
                <w:sz w:val="18"/>
                <w:szCs w:val="18"/>
              </w:rPr>
              <w:t>2.</w:t>
            </w:r>
            <w:r>
              <w:rPr>
                <w:rFonts w:hint="eastAsia" w:ascii="宋体" w:hAnsi="宋体"/>
                <w:color w:val="000000"/>
                <w:kern w:val="0"/>
                <w:sz w:val="18"/>
                <w:szCs w:val="18"/>
              </w:rPr>
              <w:t>在地方开展第三方体检评估和社会满意度调查时给与技术支持</w:t>
            </w:r>
          </w:p>
          <w:p>
            <w:pPr>
              <w:widowControl/>
              <w:jc w:val="left"/>
              <w:rPr>
                <w:rFonts w:hint="eastAsia" w:ascii="宋体" w:hAnsi="宋体" w:eastAsia="宋体"/>
                <w:color w:val="000000"/>
                <w:kern w:val="0"/>
                <w:sz w:val="18"/>
                <w:szCs w:val="18"/>
                <w:lang w:eastAsia="zh-CN"/>
              </w:rPr>
            </w:pPr>
            <w:r>
              <w:rPr>
                <w:color w:val="000000"/>
                <w:kern w:val="0"/>
                <w:sz w:val="18"/>
                <w:szCs w:val="18"/>
              </w:rPr>
              <w:t>3.</w:t>
            </w:r>
            <w:r>
              <w:rPr>
                <w:rFonts w:hint="eastAsia" w:ascii="宋体" w:hAnsi="宋体"/>
                <w:color w:val="000000"/>
                <w:kern w:val="0"/>
                <w:sz w:val="18"/>
                <w:szCs w:val="18"/>
              </w:rPr>
              <w:t>充分利用现有城市规划建设管理信息化基础，搭建并运行城市体检信息平台。</w:t>
            </w:r>
          </w:p>
          <w:p>
            <w:pPr>
              <w:widowControl/>
              <w:jc w:val="left"/>
              <w:rPr>
                <w:rFonts w:hint="eastAsia" w:ascii="宋体" w:hAnsi="宋体" w:eastAsia="宋体"/>
                <w:color w:val="000000"/>
                <w:kern w:val="0"/>
                <w:sz w:val="18"/>
                <w:szCs w:val="18"/>
                <w:lang w:eastAsia="zh-CN"/>
              </w:rPr>
            </w:pPr>
            <w:r>
              <w:rPr>
                <w:color w:val="000000"/>
                <w:kern w:val="0"/>
                <w:sz w:val="18"/>
                <w:szCs w:val="18"/>
              </w:rPr>
              <w:t>4.</w:t>
            </w:r>
            <w:r>
              <w:rPr>
                <w:rFonts w:hint="eastAsia" w:ascii="宋体" w:hAnsi="宋体"/>
                <w:color w:val="000000"/>
                <w:kern w:val="0"/>
                <w:sz w:val="18"/>
                <w:szCs w:val="18"/>
              </w:rPr>
              <w:t>指导地方建立城市建设发展质量动态监测机制，科学实施城市更新</w:t>
            </w:r>
          </w:p>
          <w:p>
            <w:pPr>
              <w:widowControl/>
              <w:jc w:val="left"/>
              <w:rPr>
                <w:color w:val="000000"/>
                <w:kern w:val="0"/>
                <w:sz w:val="18"/>
                <w:szCs w:val="18"/>
              </w:rPr>
            </w:pPr>
            <w:r>
              <w:rPr>
                <w:color w:val="000000"/>
                <w:kern w:val="0"/>
                <w:sz w:val="18"/>
                <w:szCs w:val="18"/>
              </w:rPr>
              <w:t>4.</w:t>
            </w:r>
            <w:r>
              <w:rPr>
                <w:rFonts w:hint="eastAsia" w:ascii="宋体" w:hAnsi="宋体"/>
                <w:color w:val="000000"/>
                <w:kern w:val="0"/>
                <w:sz w:val="18"/>
                <w:szCs w:val="18"/>
              </w:rPr>
              <w:t>结合体检成果，</w:t>
            </w:r>
            <w:r>
              <w:rPr>
                <w:color w:val="000000"/>
                <w:kern w:val="0"/>
                <w:sz w:val="18"/>
                <w:szCs w:val="18"/>
              </w:rPr>
              <w:t>“</w:t>
            </w:r>
            <w:r>
              <w:rPr>
                <w:rFonts w:hint="eastAsia" w:ascii="宋体" w:hAnsi="宋体"/>
                <w:color w:val="000000"/>
                <w:kern w:val="0"/>
                <w:sz w:val="18"/>
                <w:szCs w:val="18"/>
              </w:rPr>
              <w:t>十四五</w:t>
            </w:r>
            <w:r>
              <w:rPr>
                <w:color w:val="000000"/>
                <w:kern w:val="0"/>
                <w:sz w:val="18"/>
                <w:szCs w:val="18"/>
              </w:rPr>
              <w:t>”</w:t>
            </w:r>
            <w:r>
              <w:rPr>
                <w:rFonts w:hint="eastAsia" w:ascii="宋体" w:hAnsi="宋体"/>
                <w:color w:val="000000"/>
                <w:kern w:val="0"/>
                <w:sz w:val="18"/>
                <w:szCs w:val="18"/>
              </w:rPr>
              <w:t>城市建设相关规划、城市建设年度计划和建设项目清单，指导地方开展成果转化应用。</w:t>
            </w:r>
          </w:p>
        </w:tc>
        <w:tc>
          <w:tcPr>
            <w:tcW w:w="4625"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2022年，按照住建厅关于城市体检和城市更新工作安排，市政所主动承接相关项目咨询工作。先后完成德阳、洪雅县等城市体检和风貌整治环境提升规划编制工作，项目年度目标稳步实现。</w:t>
            </w:r>
          </w:p>
        </w:tc>
      </w:tr>
      <w:tr>
        <w:tblPrEx>
          <w:tblCellMar>
            <w:top w:w="0" w:type="dxa"/>
            <w:left w:w="108" w:type="dxa"/>
            <w:bottom w:w="0" w:type="dxa"/>
            <w:right w:w="108" w:type="dxa"/>
          </w:tblCellMar>
        </w:tblPrEx>
        <w:trPr>
          <w:trHeight w:val="694"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2.</w:t>
            </w:r>
            <w:r>
              <w:rPr>
                <w:rFonts w:hint="eastAsia" w:ascii="宋体" w:hAnsi="宋体"/>
                <w:color w:val="000000"/>
                <w:kern w:val="0"/>
                <w:sz w:val="18"/>
                <w:szCs w:val="18"/>
              </w:rPr>
              <w:t>项目实施内容及过程概述</w:t>
            </w:r>
          </w:p>
        </w:tc>
        <w:tc>
          <w:tcPr>
            <w:tcW w:w="11461" w:type="dxa"/>
            <w:gridSpan w:val="10"/>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项目于2022年初全面启动，工作稳步推进。项目组深入调研，结合国家省级政策要求，了解项目需求，设计解决方案，最终形成成果。主要成果包括：洪雅县七里坪城镇风貌整治环境提升规划设计、2021年德阳市城市体检技术服务和2022年德阳市城市体检技术服务等。</w:t>
            </w:r>
          </w:p>
        </w:tc>
      </w:tr>
      <w:tr>
        <w:tblPrEx>
          <w:tblCellMar>
            <w:top w:w="0" w:type="dxa"/>
            <w:left w:w="108" w:type="dxa"/>
            <w:bottom w:w="0" w:type="dxa"/>
            <w:right w:w="108" w:type="dxa"/>
          </w:tblCellMar>
        </w:tblPrEx>
        <w:trPr>
          <w:trHeight w:val="360"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预算执行情况（</w:t>
            </w:r>
            <w:r>
              <w:rPr>
                <w:color w:val="000000"/>
                <w:kern w:val="0"/>
                <w:sz w:val="18"/>
                <w:szCs w:val="18"/>
              </w:rPr>
              <w:t>10</w:t>
            </w:r>
            <w:r>
              <w:rPr>
                <w:rFonts w:hint="eastAsia" w:ascii="宋体" w:hAnsi="宋体"/>
                <w:color w:val="000000"/>
                <w:kern w:val="0"/>
                <w:sz w:val="18"/>
                <w:szCs w:val="18"/>
              </w:rPr>
              <w:t>分）</w:t>
            </w: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年度预算数（万元）</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年初预算</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调整后预算数</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预算执行数</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预算执行率</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权重</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得分</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原因</w:t>
            </w:r>
          </w:p>
        </w:tc>
      </w:tr>
      <w:tr>
        <w:tblPrEx>
          <w:tblCellMar>
            <w:top w:w="0" w:type="dxa"/>
            <w:left w:w="108" w:type="dxa"/>
            <w:bottom w:w="0" w:type="dxa"/>
            <w:right w:w="108" w:type="dxa"/>
          </w:tblCellMar>
        </w:tblPrEx>
        <w:trPr>
          <w:trHeight w:val="465"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总额</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96.00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18.60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16.33</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87.82%</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8.8</w:t>
            </w:r>
          </w:p>
        </w:tc>
        <w:tc>
          <w:tcPr>
            <w:tcW w:w="2491"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黑体" w:hAnsi="黑体" w:eastAsia="黑体"/>
                <w:color w:val="000000"/>
                <w:kern w:val="0"/>
                <w:sz w:val="18"/>
                <w:szCs w:val="18"/>
                <w:lang w:eastAsia="zh-CN"/>
              </w:rPr>
            </w:pPr>
            <w:r>
              <w:rPr>
                <w:color w:val="000000"/>
                <w:kern w:val="0"/>
                <w:sz w:val="18"/>
                <w:szCs w:val="18"/>
              </w:rPr>
              <w:t>1.</w:t>
            </w:r>
            <w:r>
              <w:rPr>
                <w:rFonts w:hint="eastAsia" w:ascii="黑体" w:hAnsi="黑体" w:eastAsia="黑体"/>
                <w:color w:val="000000"/>
                <w:kern w:val="0"/>
                <w:sz w:val="18"/>
                <w:szCs w:val="18"/>
              </w:rPr>
              <w:t>预算执行率未达到</w:t>
            </w:r>
            <w:r>
              <w:rPr>
                <w:color w:val="000000"/>
                <w:kern w:val="0"/>
                <w:sz w:val="18"/>
                <w:szCs w:val="18"/>
              </w:rPr>
              <w:t>90%</w:t>
            </w:r>
            <w:r>
              <w:rPr>
                <w:rFonts w:hint="eastAsia" w:ascii="黑体" w:hAnsi="黑体" w:eastAsia="黑体"/>
                <w:color w:val="000000"/>
                <w:kern w:val="0"/>
                <w:sz w:val="18"/>
                <w:szCs w:val="18"/>
              </w:rPr>
              <w:t>的主要原因系项目收入系市场行为，无法准确预计。部分项目委托业务合同签订的支付条件与项目收款相关，故执行率偏低。</w:t>
            </w:r>
          </w:p>
          <w:p>
            <w:pPr>
              <w:widowControl/>
              <w:jc w:val="left"/>
              <w:rPr>
                <w:color w:val="000000"/>
                <w:kern w:val="0"/>
                <w:sz w:val="18"/>
                <w:szCs w:val="18"/>
              </w:rPr>
            </w:pPr>
            <w:r>
              <w:rPr>
                <w:color w:val="000000"/>
                <w:kern w:val="0"/>
                <w:sz w:val="18"/>
                <w:szCs w:val="18"/>
              </w:rPr>
              <w:t>2.</w:t>
            </w:r>
            <w:r>
              <w:rPr>
                <w:rFonts w:hint="eastAsia" w:ascii="黑体" w:hAnsi="黑体" w:eastAsia="黑体"/>
                <w:color w:val="000000"/>
                <w:kern w:val="0"/>
                <w:sz w:val="18"/>
                <w:szCs w:val="18"/>
              </w:rPr>
              <w:t>年中发生预算调减的主要原因系</w:t>
            </w:r>
            <w:r>
              <w:rPr>
                <w:color w:val="000000"/>
                <w:kern w:val="0"/>
                <w:sz w:val="18"/>
                <w:szCs w:val="18"/>
              </w:rPr>
              <w:t>,</w:t>
            </w:r>
            <w:r>
              <w:rPr>
                <w:rFonts w:hint="eastAsia" w:ascii="黑体" w:hAnsi="黑体" w:eastAsia="黑体"/>
                <w:color w:val="000000"/>
                <w:kern w:val="0"/>
                <w:sz w:val="18"/>
                <w:szCs w:val="18"/>
              </w:rPr>
              <w:t>根据市场变化，预计收入下降，且进一步加强厉行节约，项目支出得到有效控制。</w:t>
            </w:r>
          </w:p>
        </w:tc>
      </w:tr>
      <w:tr>
        <w:tblPrEx>
          <w:tblCellMar>
            <w:top w:w="0" w:type="dxa"/>
            <w:left w:w="108" w:type="dxa"/>
            <w:bottom w:w="0" w:type="dxa"/>
            <w:right w:w="108" w:type="dxa"/>
          </w:tblCellMar>
        </w:tblPrEx>
        <w:trPr>
          <w:trHeight w:val="465"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其中：财政资金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65"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财政专户管理资金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65"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单位资金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96.00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18.60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16.33</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87.82%</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65"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其他资金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54"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绩效指标（</w:t>
            </w:r>
            <w:r>
              <w:rPr>
                <w:color w:val="000000"/>
                <w:kern w:val="0"/>
                <w:sz w:val="18"/>
                <w:szCs w:val="18"/>
              </w:rPr>
              <w:t>90</w:t>
            </w:r>
            <w:r>
              <w:rPr>
                <w:rFonts w:hint="eastAsia" w:ascii="宋体" w:hAnsi="宋体"/>
                <w:color w:val="000000"/>
                <w:kern w:val="0"/>
                <w:sz w:val="18"/>
                <w:szCs w:val="18"/>
              </w:rPr>
              <w:t>分）</w:t>
            </w: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一级指标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二级指标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三级指标</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指标性质</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指标值</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度量单位</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完成值</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权重</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得分</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产出指标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数量指标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项目数量</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个</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6"/>
                <w:szCs w:val="16"/>
              </w:rPr>
            </w:pPr>
            <w:r>
              <w:rPr>
                <w:color w:val="000000"/>
                <w:kern w:val="0"/>
                <w:sz w:val="16"/>
                <w:szCs w:val="16"/>
              </w:rPr>
              <w:t>5</w:t>
            </w:r>
            <w:r>
              <w:rPr>
                <w:rFonts w:hint="eastAsia" w:ascii="宋体" w:hAnsi="宋体"/>
                <w:color w:val="000000"/>
                <w:kern w:val="0"/>
                <w:sz w:val="16"/>
                <w:szCs w:val="16"/>
              </w:rPr>
              <w:t>个</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20</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质量指标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项目总成本</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96</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万元</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6"/>
                <w:szCs w:val="16"/>
              </w:rPr>
            </w:pPr>
            <w:r>
              <w:rPr>
                <w:color w:val="000000"/>
                <w:kern w:val="0"/>
                <w:sz w:val="16"/>
                <w:szCs w:val="16"/>
              </w:rPr>
              <w:t>16.33</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50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50</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效益指标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社会效益指标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城乡建设环境及生态等</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定性</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优良中低差</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　</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良</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rFonts w:hint="eastAsia"/>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8</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454"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满意度指标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服务对象满意度指标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甲方满意度</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定性</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优良中低差</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　</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良</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rFonts w:hint="eastAsia"/>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8</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285" w:hRule="atLeast"/>
        </w:trPr>
        <w:tc>
          <w:tcPr>
            <w:tcW w:w="10444"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合计</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　</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right"/>
              <w:rPr>
                <w:color w:val="000000"/>
                <w:kern w:val="0"/>
                <w:sz w:val="18"/>
                <w:szCs w:val="18"/>
              </w:rPr>
            </w:pPr>
            <w:r>
              <w:rPr>
                <w:color w:val="000000"/>
                <w:kern w:val="0"/>
                <w:sz w:val="18"/>
                <w:szCs w:val="18"/>
              </w:rPr>
              <w:t>94.8</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　</w:t>
            </w:r>
          </w:p>
        </w:tc>
      </w:tr>
      <w:tr>
        <w:tblPrEx>
          <w:tblCellMar>
            <w:top w:w="0" w:type="dxa"/>
            <w:left w:w="108" w:type="dxa"/>
            <w:bottom w:w="0" w:type="dxa"/>
            <w:right w:w="108" w:type="dxa"/>
          </w:tblCellMar>
        </w:tblPrEx>
        <w:trPr>
          <w:trHeight w:val="604"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评价结论</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6"/>
                <w:szCs w:val="16"/>
              </w:rPr>
            </w:pPr>
            <w:r>
              <w:rPr>
                <w:rFonts w:hint="eastAsia" w:ascii="宋体" w:hAnsi="宋体"/>
                <w:color w:val="000000"/>
                <w:kern w:val="0"/>
                <w:sz w:val="16"/>
                <w:szCs w:val="16"/>
              </w:rPr>
              <w:t>项目自评总分达到</w:t>
            </w:r>
            <w:r>
              <w:rPr>
                <w:color w:val="000000"/>
                <w:kern w:val="0"/>
                <w:sz w:val="16"/>
                <w:szCs w:val="16"/>
              </w:rPr>
              <w:t>94.8</w:t>
            </w:r>
            <w:r>
              <w:rPr>
                <w:rFonts w:hint="eastAsia" w:ascii="宋体" w:hAnsi="宋体"/>
                <w:color w:val="000000"/>
                <w:kern w:val="0"/>
                <w:sz w:val="16"/>
                <w:szCs w:val="16"/>
              </w:rPr>
              <w:t>分，整体预算执行情况良好，绩效指标全部达标。同时，项目产出成果既为德阳、洪雅等地城市体检和城市更新事业的提供有力支撑，又为各地提高城乡人居环境建设水平的持续提升贡献显著，成效尤为突出。</w:t>
            </w:r>
          </w:p>
        </w:tc>
      </w:tr>
      <w:tr>
        <w:tblPrEx>
          <w:tblCellMar>
            <w:top w:w="0" w:type="dxa"/>
            <w:left w:w="108" w:type="dxa"/>
            <w:bottom w:w="0" w:type="dxa"/>
            <w:right w:w="108" w:type="dxa"/>
          </w:tblCellMar>
        </w:tblPrEx>
        <w:trPr>
          <w:trHeight w:val="574"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存在问题</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6"/>
                <w:szCs w:val="16"/>
              </w:rPr>
            </w:pPr>
            <w:r>
              <w:rPr>
                <w:color w:val="000000"/>
                <w:kern w:val="0"/>
                <w:sz w:val="16"/>
                <w:szCs w:val="16"/>
              </w:rPr>
              <w:t>项目成果转化程度仍有不足，建设示范效应尚未充分彰显。</w:t>
            </w:r>
          </w:p>
        </w:tc>
      </w:tr>
      <w:tr>
        <w:tblPrEx>
          <w:tblCellMar>
            <w:top w:w="0" w:type="dxa"/>
            <w:left w:w="108" w:type="dxa"/>
            <w:bottom w:w="0" w:type="dxa"/>
            <w:right w:w="108" w:type="dxa"/>
          </w:tblCellMar>
        </w:tblPrEx>
        <w:trPr>
          <w:trHeight w:val="634"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改进措施</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6"/>
                <w:szCs w:val="16"/>
              </w:rPr>
            </w:pPr>
            <w:r>
              <w:rPr>
                <w:color w:val="000000"/>
                <w:kern w:val="0"/>
                <w:sz w:val="16"/>
                <w:szCs w:val="16"/>
              </w:rPr>
              <w:t>要加大成果转化力度，通过论文、公众号、推广视频等形式，进一步提升成果推广示范效益。</w:t>
            </w:r>
          </w:p>
        </w:tc>
      </w:tr>
      <w:tr>
        <w:tblPrEx>
          <w:tblCellMar>
            <w:top w:w="0" w:type="dxa"/>
            <w:left w:w="108" w:type="dxa"/>
            <w:bottom w:w="0" w:type="dxa"/>
            <w:right w:w="108" w:type="dxa"/>
          </w:tblCellMar>
        </w:tblPrEx>
        <w:trPr>
          <w:trHeight w:val="285" w:hRule="atLeast"/>
        </w:trPr>
        <w:tc>
          <w:tcPr>
            <w:tcW w:w="7320"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黑体" w:hAnsi="黑体" w:eastAsia="黑体"/>
                <w:color w:val="000000"/>
                <w:kern w:val="0"/>
                <w:sz w:val="18"/>
                <w:szCs w:val="18"/>
              </w:rPr>
            </w:pPr>
            <w:r>
              <w:rPr>
                <w:rFonts w:hint="eastAsia" w:ascii="黑体" w:hAnsi="黑体" w:eastAsia="黑体"/>
                <w:color w:val="000000"/>
                <w:sz w:val="18"/>
                <w:szCs w:val="18"/>
              </w:rPr>
              <w:t>项目负责人：杨婧</w:t>
            </w:r>
          </w:p>
        </w:tc>
        <w:tc>
          <w:tcPr>
            <w:tcW w:w="6660" w:type="dxa"/>
            <w:gridSpan w:val="6"/>
            <w:tcBorders>
              <w:top w:val="single" w:color="000000" w:sz="4" w:space="0"/>
              <w:left w:val="nil"/>
              <w:bottom w:val="single" w:color="000000" w:sz="4" w:space="0"/>
              <w:right w:val="single" w:color="000000" w:sz="4" w:space="0"/>
            </w:tcBorders>
            <w:shd w:val="clear" w:color="auto" w:fill="auto"/>
            <w:noWrap w:val="0"/>
            <w:vAlign w:val="center"/>
          </w:tcPr>
          <w:p>
            <w:pPr>
              <w:rPr>
                <w:rFonts w:hint="eastAsia" w:ascii="黑体" w:hAnsi="黑体" w:eastAsia="黑体"/>
                <w:color w:val="000000"/>
                <w:sz w:val="18"/>
                <w:szCs w:val="18"/>
              </w:rPr>
            </w:pPr>
            <w:r>
              <w:rPr>
                <w:rFonts w:hint="eastAsia" w:ascii="黑体" w:hAnsi="黑体" w:eastAsia="黑体"/>
                <w:color w:val="000000"/>
                <w:sz w:val="18"/>
                <w:szCs w:val="18"/>
              </w:rPr>
              <w:t>财务负责人：杨猛</w:t>
            </w:r>
          </w:p>
        </w:tc>
      </w:tr>
      <w:tr>
        <w:tblPrEx>
          <w:tblCellMar>
            <w:top w:w="0" w:type="dxa"/>
            <w:left w:w="108" w:type="dxa"/>
            <w:bottom w:w="0" w:type="dxa"/>
            <w:right w:w="108" w:type="dxa"/>
          </w:tblCellMar>
        </w:tblPrEx>
        <w:trPr>
          <w:trHeight w:val="285" w:hRule="atLeast"/>
        </w:trPr>
        <w:tc>
          <w:tcPr>
            <w:tcW w:w="829" w:type="dxa"/>
            <w:tcBorders>
              <w:top w:val="nil"/>
              <w:left w:val="nil"/>
              <w:bottom w:val="nil"/>
              <w:right w:val="nil"/>
            </w:tcBorders>
            <w:shd w:val="clear" w:color="auto" w:fill="auto"/>
            <w:noWrap w:val="0"/>
            <w:vAlign w:val="center"/>
          </w:tcPr>
          <w:p>
            <w:pPr>
              <w:widowControl/>
              <w:jc w:val="left"/>
              <w:rPr>
                <w:color w:val="000000"/>
                <w:kern w:val="0"/>
                <w:sz w:val="18"/>
                <w:szCs w:val="18"/>
              </w:rPr>
            </w:pPr>
          </w:p>
        </w:tc>
        <w:tc>
          <w:tcPr>
            <w:tcW w:w="1690"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73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220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1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628" w:type="dxa"/>
            <w:gridSpan w:val="2"/>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756"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089"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1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31"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2491"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04" w:hRule="atLeast"/>
        </w:trPr>
        <w:tc>
          <w:tcPr>
            <w:tcW w:w="13980"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b/>
                <w:bCs/>
                <w:color w:val="000000"/>
                <w:kern w:val="0"/>
                <w:sz w:val="30"/>
                <w:szCs w:val="30"/>
              </w:rPr>
            </w:pPr>
            <w:r>
              <w:rPr>
                <w:rFonts w:hint="eastAsia" w:ascii="黑体" w:hAnsi="黑体" w:eastAsia="黑体"/>
                <w:b/>
                <w:bCs/>
                <w:color w:val="000000"/>
                <w:kern w:val="0"/>
                <w:sz w:val="30"/>
                <w:szCs w:val="30"/>
              </w:rPr>
              <w:t>部门预算项目支出绩效自评表（</w:t>
            </w:r>
            <w:r>
              <w:rPr>
                <w:b/>
                <w:bCs/>
                <w:color w:val="000000"/>
                <w:kern w:val="0"/>
                <w:sz w:val="30"/>
                <w:szCs w:val="30"/>
              </w:rPr>
              <w:t>2022</w:t>
            </w:r>
            <w:r>
              <w:rPr>
                <w:rFonts w:hint="eastAsia" w:ascii="黑体" w:hAnsi="黑体" w:eastAsia="黑体"/>
                <w:b/>
                <w:bCs/>
                <w:color w:val="000000"/>
                <w:kern w:val="0"/>
                <w:sz w:val="30"/>
                <w:szCs w:val="30"/>
              </w:rPr>
              <w:t>年度）</w:t>
            </w:r>
          </w:p>
        </w:tc>
      </w:tr>
      <w:tr>
        <w:tblPrEx>
          <w:tblCellMar>
            <w:top w:w="0" w:type="dxa"/>
            <w:left w:w="108" w:type="dxa"/>
            <w:bottom w:w="0" w:type="dxa"/>
            <w:right w:w="108" w:type="dxa"/>
          </w:tblCellMar>
        </w:tblPrEx>
        <w:trPr>
          <w:trHeight w:val="285"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项目名称</w:t>
            </w:r>
          </w:p>
        </w:tc>
        <w:tc>
          <w:tcPr>
            <w:tcW w:w="11461" w:type="dxa"/>
            <w:gridSpan w:val="10"/>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51000022T000000249726-</w:t>
            </w:r>
            <w:r>
              <w:rPr>
                <w:rFonts w:hint="eastAsia" w:ascii="宋体" w:hAnsi="宋体"/>
                <w:color w:val="000000"/>
                <w:kern w:val="0"/>
                <w:sz w:val="18"/>
                <w:szCs w:val="18"/>
              </w:rPr>
              <w:t>更新改造项目总承包</w:t>
            </w:r>
          </w:p>
        </w:tc>
      </w:tr>
      <w:tr>
        <w:tblPrEx>
          <w:tblCellMar>
            <w:top w:w="0" w:type="dxa"/>
            <w:left w:w="108" w:type="dxa"/>
            <w:bottom w:w="0" w:type="dxa"/>
            <w:right w:w="108" w:type="dxa"/>
          </w:tblCellMar>
        </w:tblPrEx>
        <w:trPr>
          <w:trHeight w:val="514"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主管部门</w:t>
            </w: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四川省住房和城乡建设厅部门</w:t>
            </w:r>
          </w:p>
        </w:tc>
        <w:tc>
          <w:tcPr>
            <w:tcW w:w="1089" w:type="dxa"/>
            <w:tcBorders>
              <w:top w:val="nil"/>
              <w:left w:val="nil"/>
              <w:bottom w:val="nil"/>
              <w:right w:val="nil"/>
            </w:tcBorders>
            <w:shd w:val="clear" w:color="auto" w:fill="auto"/>
            <w:noWrap w:val="0"/>
            <w:vAlign w:val="center"/>
          </w:tcPr>
          <w:p>
            <w:pPr>
              <w:widowControl/>
              <w:jc w:val="left"/>
              <w:rPr>
                <w:color w:val="000000"/>
                <w:kern w:val="0"/>
                <w:sz w:val="18"/>
                <w:szCs w:val="18"/>
              </w:rPr>
            </w:pPr>
            <w:r>
              <w:rPr>
                <w:rFonts w:hint="eastAsia" w:ascii="黑体" w:hAnsi="黑体" w:eastAsia="黑体"/>
                <w:color w:val="000000"/>
                <w:kern w:val="0"/>
                <w:sz w:val="18"/>
                <w:szCs w:val="18"/>
              </w:rPr>
              <w:t>实施单位</w:t>
            </w:r>
            <w:r>
              <w:rPr>
                <w:color w:val="000000"/>
                <w:kern w:val="0"/>
                <w:sz w:val="18"/>
                <w:szCs w:val="18"/>
              </w:rPr>
              <w:t xml:space="preserve"> </w:t>
            </w:r>
            <w:r>
              <w:rPr>
                <w:rFonts w:hint="eastAsia" w:ascii="黑体" w:hAnsi="黑体" w:eastAsia="黑体"/>
                <w:color w:val="000000"/>
                <w:kern w:val="0"/>
                <w:sz w:val="18"/>
                <w:szCs w:val="18"/>
              </w:rPr>
              <w:t>（盖章）</w:t>
            </w:r>
          </w:p>
        </w:tc>
        <w:tc>
          <w:tcPr>
            <w:tcW w:w="353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四川省城乡建设研究院</w:t>
            </w:r>
          </w:p>
        </w:tc>
      </w:tr>
      <w:tr>
        <w:tblPrEx>
          <w:tblCellMar>
            <w:top w:w="0" w:type="dxa"/>
            <w:left w:w="108" w:type="dxa"/>
            <w:bottom w:w="0" w:type="dxa"/>
            <w:right w:w="108" w:type="dxa"/>
          </w:tblCellMar>
        </w:tblPrEx>
        <w:trPr>
          <w:trHeight w:val="285"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项目基本情况</w:t>
            </w:r>
          </w:p>
        </w:tc>
        <w:tc>
          <w:tcPr>
            <w:tcW w:w="169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1.</w:t>
            </w:r>
            <w:r>
              <w:rPr>
                <w:rFonts w:hint="eastAsia" w:ascii="宋体" w:hAnsi="宋体"/>
                <w:color w:val="000000"/>
                <w:kern w:val="0"/>
                <w:sz w:val="18"/>
                <w:szCs w:val="18"/>
              </w:rPr>
              <w:t>项目年度目标完成情况</w:t>
            </w: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项目年度目标</w:t>
            </w:r>
          </w:p>
        </w:tc>
        <w:tc>
          <w:tcPr>
            <w:tcW w:w="4625"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黑体" w:hAnsi="黑体" w:eastAsia="黑体"/>
                <w:color w:val="000000"/>
                <w:kern w:val="0"/>
                <w:sz w:val="18"/>
                <w:szCs w:val="18"/>
              </w:rPr>
              <w:t>年度目标完成情况</w:t>
            </w:r>
          </w:p>
        </w:tc>
      </w:tr>
      <w:tr>
        <w:tblPrEx>
          <w:tblCellMar>
            <w:top w:w="0" w:type="dxa"/>
            <w:left w:w="108" w:type="dxa"/>
            <w:bottom w:w="0" w:type="dxa"/>
            <w:right w:w="108" w:type="dxa"/>
          </w:tblCellMar>
        </w:tblPrEx>
        <w:trPr>
          <w:trHeight w:val="135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积极响应住房城乡建设部印发《关于进一步推进工程总承包发展的若干意见》，深化建设项目组织实施方式改革，工程总承包是国际通行的建设项目组织实施方式，大力推进工程总承包，有利于实现设计、采购、施工等各阶段工作的深度融合，发挥工程总承包企业的技术和管理优势，提高工程建设水平，推动产业转型升级，服务于</w:t>
            </w:r>
            <w:r>
              <w:rPr>
                <w:color w:val="000000"/>
                <w:kern w:val="0"/>
                <w:sz w:val="18"/>
                <w:szCs w:val="18"/>
              </w:rPr>
              <w:t>“</w:t>
            </w:r>
            <w:r>
              <w:rPr>
                <w:rFonts w:hint="eastAsia" w:ascii="宋体" w:hAnsi="宋体"/>
                <w:color w:val="000000"/>
                <w:kern w:val="0"/>
                <w:sz w:val="18"/>
                <w:szCs w:val="18"/>
              </w:rPr>
              <w:t>一带一路</w:t>
            </w:r>
            <w:r>
              <w:rPr>
                <w:color w:val="000000"/>
                <w:kern w:val="0"/>
                <w:sz w:val="18"/>
                <w:szCs w:val="18"/>
              </w:rPr>
              <w:t>”</w:t>
            </w:r>
            <w:r>
              <w:rPr>
                <w:rFonts w:hint="eastAsia" w:ascii="宋体" w:hAnsi="宋体"/>
                <w:color w:val="000000"/>
                <w:kern w:val="0"/>
                <w:sz w:val="18"/>
                <w:szCs w:val="18"/>
              </w:rPr>
              <w:t>倡议实施。</w:t>
            </w:r>
          </w:p>
        </w:tc>
        <w:tc>
          <w:tcPr>
            <w:tcW w:w="4625"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目标已完成。全年共中标2个EPC项目，为中小型项目开展EPC做了一定的探索，为地方建设做出了相应贡献。</w:t>
            </w:r>
          </w:p>
        </w:tc>
      </w:tr>
      <w:tr>
        <w:tblPrEx>
          <w:tblCellMar>
            <w:top w:w="0" w:type="dxa"/>
            <w:left w:w="108" w:type="dxa"/>
            <w:bottom w:w="0" w:type="dxa"/>
            <w:right w:w="108" w:type="dxa"/>
          </w:tblCellMar>
        </w:tblPrEx>
        <w:trPr>
          <w:trHeight w:val="694"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2.</w:t>
            </w:r>
            <w:r>
              <w:rPr>
                <w:rFonts w:hint="eastAsia" w:ascii="宋体" w:hAnsi="宋体"/>
                <w:color w:val="000000"/>
                <w:kern w:val="0"/>
                <w:sz w:val="18"/>
                <w:szCs w:val="18"/>
              </w:rPr>
              <w:t>项目实施内容及过程概述</w:t>
            </w:r>
          </w:p>
        </w:tc>
        <w:tc>
          <w:tcPr>
            <w:tcW w:w="11461" w:type="dxa"/>
            <w:gridSpan w:val="10"/>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2022年6月，我院与四川省第六建筑有限公司联合中标天全县2022年城镇老旧小区改造设计施工EPC项目；2022年11月中标天全县烈士陵园改造提升和天全县二郎山筑路英烈纪念园建设项目第一期EPC项目。两个项目，在正常建设中。</w:t>
            </w:r>
          </w:p>
        </w:tc>
      </w:tr>
      <w:tr>
        <w:tblPrEx>
          <w:tblCellMar>
            <w:top w:w="0" w:type="dxa"/>
            <w:left w:w="108" w:type="dxa"/>
            <w:bottom w:w="0" w:type="dxa"/>
            <w:right w:w="108" w:type="dxa"/>
          </w:tblCellMar>
        </w:tblPrEx>
        <w:trPr>
          <w:trHeight w:val="360"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预算执行情况（</w:t>
            </w:r>
            <w:r>
              <w:rPr>
                <w:color w:val="000000"/>
                <w:kern w:val="0"/>
                <w:sz w:val="18"/>
                <w:szCs w:val="18"/>
              </w:rPr>
              <w:t>10</w:t>
            </w:r>
            <w:r>
              <w:rPr>
                <w:rFonts w:hint="eastAsia" w:ascii="宋体" w:hAnsi="宋体"/>
                <w:color w:val="000000"/>
                <w:kern w:val="0"/>
                <w:sz w:val="18"/>
                <w:szCs w:val="18"/>
              </w:rPr>
              <w:t>分）</w:t>
            </w: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年度预算数（万元）</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年初预算</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调整后预算数</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预算执行数</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预算执行率</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权重</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得分</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总额</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400.00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33.50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32.23</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96.21%</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9.6</w:t>
            </w:r>
          </w:p>
        </w:tc>
        <w:tc>
          <w:tcPr>
            <w:tcW w:w="2491"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年中调整预算原因：项目洽谈未达预期，合同签订时间延后。</w:t>
            </w:r>
          </w:p>
        </w:tc>
      </w:tr>
      <w:tr>
        <w:tblPrEx>
          <w:tblCellMar>
            <w:top w:w="0" w:type="dxa"/>
            <w:left w:w="108" w:type="dxa"/>
            <w:bottom w:w="0" w:type="dxa"/>
            <w:right w:w="108" w:type="dxa"/>
          </w:tblCellMar>
        </w:tblPrEx>
        <w:trPr>
          <w:trHeight w:val="432"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其中：财政资金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47"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财政专户管理资金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02"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单位资金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400.00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33.50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32.23</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96.21%</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379"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其他资金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54"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绩效指标（</w:t>
            </w:r>
            <w:r>
              <w:rPr>
                <w:color w:val="000000"/>
                <w:kern w:val="0"/>
                <w:sz w:val="18"/>
                <w:szCs w:val="18"/>
              </w:rPr>
              <w:t>90</w:t>
            </w:r>
            <w:r>
              <w:rPr>
                <w:rFonts w:hint="eastAsia" w:ascii="宋体" w:hAnsi="宋体"/>
                <w:color w:val="000000"/>
                <w:kern w:val="0"/>
                <w:sz w:val="18"/>
                <w:szCs w:val="18"/>
              </w:rPr>
              <w:t>分）</w:t>
            </w: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一级指标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二级指标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三级指标</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指标性质</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指标值</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度量单位</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完成值</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权重</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得分</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产出指标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数量指标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承接项目个数</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个</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6"/>
                <w:szCs w:val="16"/>
              </w:rPr>
            </w:pPr>
            <w:r>
              <w:rPr>
                <w:color w:val="000000"/>
                <w:kern w:val="0"/>
                <w:sz w:val="16"/>
                <w:szCs w:val="16"/>
              </w:rPr>
              <w:t>2</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20</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成本指标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成本总额</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400</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万元</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6"/>
                <w:szCs w:val="16"/>
              </w:rPr>
            </w:pPr>
            <w:r>
              <w:rPr>
                <w:color w:val="000000"/>
                <w:kern w:val="0"/>
                <w:sz w:val="16"/>
                <w:szCs w:val="16"/>
              </w:rPr>
              <w:t>32.23</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50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50</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效益指标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经济效益指标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对当地经济促进作用</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定性</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优良中低差</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套</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良</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rFonts w:hint="eastAsia"/>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8</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454"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可持续影响指标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城市人居环境建设可持续发展</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定性</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优良中低差</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套</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良</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rFonts w:hint="eastAsia"/>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8</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285" w:hRule="atLeast"/>
        </w:trPr>
        <w:tc>
          <w:tcPr>
            <w:tcW w:w="10444"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合计</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　</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right"/>
              <w:rPr>
                <w:color w:val="000000"/>
                <w:kern w:val="0"/>
                <w:sz w:val="18"/>
                <w:szCs w:val="18"/>
              </w:rPr>
            </w:pPr>
            <w:r>
              <w:rPr>
                <w:color w:val="000000"/>
                <w:kern w:val="0"/>
                <w:sz w:val="18"/>
                <w:szCs w:val="18"/>
              </w:rPr>
              <w:t>95.6</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　</w:t>
            </w:r>
          </w:p>
        </w:tc>
      </w:tr>
      <w:tr>
        <w:tblPrEx>
          <w:tblCellMar>
            <w:top w:w="0" w:type="dxa"/>
            <w:left w:w="108" w:type="dxa"/>
            <w:bottom w:w="0" w:type="dxa"/>
            <w:right w:w="108" w:type="dxa"/>
          </w:tblCellMar>
        </w:tblPrEx>
        <w:trPr>
          <w:trHeight w:val="604"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评价结论</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6"/>
                <w:szCs w:val="16"/>
              </w:rPr>
            </w:pPr>
            <w:r>
              <w:rPr>
                <w:rFonts w:hint="eastAsia" w:ascii="宋体" w:hAnsi="宋体"/>
                <w:color w:val="000000"/>
                <w:kern w:val="0"/>
                <w:sz w:val="16"/>
                <w:szCs w:val="16"/>
              </w:rPr>
              <w:t>自评分</w:t>
            </w:r>
            <w:r>
              <w:rPr>
                <w:color w:val="000000"/>
                <w:kern w:val="0"/>
                <w:sz w:val="16"/>
                <w:szCs w:val="16"/>
              </w:rPr>
              <w:t>95.6</w:t>
            </w:r>
            <w:r>
              <w:rPr>
                <w:rFonts w:hint="eastAsia" w:ascii="宋体" w:hAnsi="宋体"/>
                <w:color w:val="000000"/>
                <w:kern w:val="0"/>
                <w:sz w:val="16"/>
                <w:szCs w:val="16"/>
              </w:rPr>
              <w:t>分</w:t>
            </w:r>
            <w:r>
              <w:rPr>
                <w:color w:val="000000"/>
                <w:kern w:val="0"/>
                <w:sz w:val="16"/>
                <w:szCs w:val="16"/>
              </w:rPr>
              <w:t>.</w:t>
            </w:r>
            <w:r>
              <w:rPr>
                <w:rFonts w:hint="eastAsia" w:ascii="宋体" w:hAnsi="宋体"/>
                <w:color w:val="000000"/>
                <w:kern w:val="0"/>
                <w:sz w:val="16"/>
                <w:szCs w:val="16"/>
              </w:rPr>
              <w:t>通过一年来的探索，基本找到适合新时期城市更新项目适宜采用的</w:t>
            </w:r>
            <w:r>
              <w:rPr>
                <w:color w:val="000000"/>
                <w:kern w:val="0"/>
                <w:sz w:val="16"/>
                <w:szCs w:val="16"/>
              </w:rPr>
              <w:t>EPC</w:t>
            </w:r>
            <w:r>
              <w:rPr>
                <w:rFonts w:hint="eastAsia" w:ascii="宋体" w:hAnsi="宋体"/>
                <w:color w:val="000000"/>
                <w:kern w:val="0"/>
                <w:sz w:val="16"/>
                <w:szCs w:val="16"/>
              </w:rPr>
              <w:t>模式</w:t>
            </w:r>
          </w:p>
        </w:tc>
      </w:tr>
      <w:tr>
        <w:tblPrEx>
          <w:tblCellMar>
            <w:top w:w="0" w:type="dxa"/>
            <w:left w:w="108" w:type="dxa"/>
            <w:bottom w:w="0" w:type="dxa"/>
            <w:right w:w="108" w:type="dxa"/>
          </w:tblCellMar>
        </w:tblPrEx>
        <w:trPr>
          <w:trHeight w:val="574"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存在问题</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合同签订数量偏少，合同额较小。预算编制合理性不足，对市场判断不充分，导致中期调整后仍然执行率较低。</w:t>
            </w:r>
          </w:p>
        </w:tc>
      </w:tr>
      <w:tr>
        <w:tblPrEx>
          <w:tblCellMar>
            <w:top w:w="0" w:type="dxa"/>
            <w:left w:w="108" w:type="dxa"/>
            <w:bottom w:w="0" w:type="dxa"/>
            <w:right w:w="108" w:type="dxa"/>
          </w:tblCellMar>
        </w:tblPrEx>
        <w:trPr>
          <w:trHeight w:val="634"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color w:val="000000"/>
                <w:kern w:val="0"/>
                <w:sz w:val="18"/>
                <w:szCs w:val="18"/>
              </w:rPr>
            </w:pPr>
            <w:r>
              <w:rPr>
                <w:rFonts w:hint="eastAsia" w:ascii="宋体" w:hAnsi="宋体"/>
                <w:color w:val="000000"/>
                <w:kern w:val="0"/>
                <w:sz w:val="18"/>
                <w:szCs w:val="18"/>
              </w:rPr>
              <w:t>改进措施</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与地方加强沟通，及时获取相关项目信息；与院内其它所室保持良好互动，共享项目信息。多渠道，多方位的洽谈项目。在年度预算执行过程中，及时督促项目实现实施进度与使用资金匹配，加强对市场的预判，及时进行预算调整，充分发挥资金的效益。</w:t>
            </w:r>
          </w:p>
        </w:tc>
      </w:tr>
      <w:tr>
        <w:tblPrEx>
          <w:tblCellMar>
            <w:top w:w="0" w:type="dxa"/>
            <w:left w:w="108" w:type="dxa"/>
            <w:bottom w:w="0" w:type="dxa"/>
            <w:right w:w="108" w:type="dxa"/>
          </w:tblCellMar>
        </w:tblPrEx>
        <w:trPr>
          <w:trHeight w:val="285" w:hRule="atLeast"/>
        </w:trPr>
        <w:tc>
          <w:tcPr>
            <w:tcW w:w="7320"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黑体" w:hAnsi="黑体" w:eastAsia="黑体"/>
                <w:color w:val="000000"/>
                <w:kern w:val="0"/>
                <w:sz w:val="18"/>
                <w:szCs w:val="18"/>
              </w:rPr>
            </w:pPr>
            <w:r>
              <w:rPr>
                <w:rFonts w:hint="eastAsia" w:ascii="黑体" w:hAnsi="黑体" w:eastAsia="黑体"/>
                <w:color w:val="000000"/>
                <w:sz w:val="18"/>
                <w:szCs w:val="18"/>
              </w:rPr>
              <w:t>项目负责人：周宏莉</w:t>
            </w:r>
          </w:p>
        </w:tc>
        <w:tc>
          <w:tcPr>
            <w:tcW w:w="6660" w:type="dxa"/>
            <w:gridSpan w:val="6"/>
            <w:tcBorders>
              <w:top w:val="single" w:color="000000" w:sz="4" w:space="0"/>
              <w:left w:val="nil"/>
              <w:bottom w:val="single" w:color="000000" w:sz="4" w:space="0"/>
              <w:right w:val="single" w:color="000000" w:sz="4" w:space="0"/>
            </w:tcBorders>
            <w:shd w:val="clear" w:color="auto" w:fill="auto"/>
            <w:noWrap w:val="0"/>
            <w:vAlign w:val="center"/>
          </w:tcPr>
          <w:p>
            <w:pPr>
              <w:rPr>
                <w:rFonts w:hint="eastAsia" w:ascii="黑体" w:hAnsi="黑体" w:eastAsia="黑体"/>
                <w:color w:val="000000"/>
                <w:sz w:val="18"/>
                <w:szCs w:val="18"/>
              </w:rPr>
            </w:pPr>
            <w:r>
              <w:rPr>
                <w:rFonts w:hint="eastAsia" w:ascii="黑体" w:hAnsi="黑体" w:eastAsia="黑体"/>
                <w:color w:val="000000"/>
                <w:sz w:val="18"/>
                <w:szCs w:val="18"/>
              </w:rPr>
              <w:t>财务负责人：杨猛</w:t>
            </w:r>
          </w:p>
        </w:tc>
      </w:tr>
      <w:tr>
        <w:tblPrEx>
          <w:tblCellMar>
            <w:top w:w="0" w:type="dxa"/>
            <w:left w:w="108" w:type="dxa"/>
            <w:bottom w:w="0" w:type="dxa"/>
            <w:right w:w="108" w:type="dxa"/>
          </w:tblCellMar>
        </w:tblPrEx>
        <w:trPr>
          <w:trHeight w:val="285" w:hRule="atLeast"/>
        </w:trPr>
        <w:tc>
          <w:tcPr>
            <w:tcW w:w="829" w:type="dxa"/>
            <w:tcBorders>
              <w:top w:val="nil"/>
              <w:left w:val="nil"/>
              <w:bottom w:val="nil"/>
              <w:right w:val="nil"/>
            </w:tcBorders>
            <w:shd w:val="clear" w:color="auto" w:fill="auto"/>
            <w:noWrap w:val="0"/>
            <w:vAlign w:val="center"/>
          </w:tcPr>
          <w:p>
            <w:pPr>
              <w:widowControl/>
              <w:jc w:val="left"/>
              <w:rPr>
                <w:color w:val="000000"/>
                <w:kern w:val="0"/>
                <w:sz w:val="18"/>
                <w:szCs w:val="18"/>
              </w:rPr>
            </w:pPr>
          </w:p>
        </w:tc>
        <w:tc>
          <w:tcPr>
            <w:tcW w:w="1690"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73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220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1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628" w:type="dxa"/>
            <w:gridSpan w:val="2"/>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756"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089"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1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31"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2491"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04" w:hRule="atLeast"/>
        </w:trPr>
        <w:tc>
          <w:tcPr>
            <w:tcW w:w="13980"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b/>
                <w:bCs/>
                <w:color w:val="000000"/>
                <w:kern w:val="0"/>
                <w:sz w:val="30"/>
                <w:szCs w:val="30"/>
              </w:rPr>
            </w:pPr>
            <w:r>
              <w:rPr>
                <w:rFonts w:hint="eastAsia" w:ascii="黑体" w:hAnsi="黑体" w:eastAsia="黑体"/>
                <w:b/>
                <w:bCs/>
                <w:color w:val="000000"/>
                <w:kern w:val="0"/>
                <w:sz w:val="30"/>
                <w:szCs w:val="30"/>
              </w:rPr>
              <w:t>部门预算项目支出绩效自评表（</w:t>
            </w:r>
            <w:r>
              <w:rPr>
                <w:b/>
                <w:bCs/>
                <w:color w:val="000000"/>
                <w:kern w:val="0"/>
                <w:sz w:val="30"/>
                <w:szCs w:val="30"/>
              </w:rPr>
              <w:t>2022</w:t>
            </w:r>
            <w:r>
              <w:rPr>
                <w:rFonts w:hint="eastAsia" w:ascii="黑体" w:hAnsi="黑体" w:eastAsia="黑体"/>
                <w:b/>
                <w:bCs/>
                <w:color w:val="000000"/>
                <w:kern w:val="0"/>
                <w:sz w:val="30"/>
                <w:szCs w:val="30"/>
              </w:rPr>
              <w:t>年度）</w:t>
            </w:r>
          </w:p>
        </w:tc>
      </w:tr>
      <w:tr>
        <w:tblPrEx>
          <w:tblCellMar>
            <w:top w:w="0" w:type="dxa"/>
            <w:left w:w="108" w:type="dxa"/>
            <w:bottom w:w="0" w:type="dxa"/>
            <w:right w:w="108" w:type="dxa"/>
          </w:tblCellMar>
        </w:tblPrEx>
        <w:trPr>
          <w:trHeight w:val="285"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项目名称</w:t>
            </w:r>
          </w:p>
        </w:tc>
        <w:tc>
          <w:tcPr>
            <w:tcW w:w="11461" w:type="dxa"/>
            <w:gridSpan w:val="10"/>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51000022T000000249728-</w:t>
            </w:r>
            <w:r>
              <w:rPr>
                <w:rFonts w:hint="eastAsia" w:ascii="宋体" w:hAnsi="宋体"/>
                <w:color w:val="000000"/>
                <w:kern w:val="0"/>
                <w:sz w:val="18"/>
                <w:szCs w:val="18"/>
              </w:rPr>
              <w:t>更新改造项目全过程（</w:t>
            </w:r>
            <w:r>
              <w:rPr>
                <w:color w:val="000000"/>
                <w:kern w:val="0"/>
                <w:sz w:val="18"/>
                <w:szCs w:val="18"/>
              </w:rPr>
              <w:t>EPC</w:t>
            </w:r>
            <w:r>
              <w:rPr>
                <w:rFonts w:hint="eastAsia" w:ascii="宋体" w:hAnsi="宋体"/>
                <w:color w:val="000000"/>
                <w:kern w:val="0"/>
                <w:sz w:val="18"/>
                <w:szCs w:val="18"/>
              </w:rPr>
              <w:t>）咨询服务</w:t>
            </w:r>
          </w:p>
        </w:tc>
      </w:tr>
      <w:tr>
        <w:tblPrEx>
          <w:tblCellMar>
            <w:top w:w="0" w:type="dxa"/>
            <w:left w:w="108" w:type="dxa"/>
            <w:bottom w:w="0" w:type="dxa"/>
            <w:right w:w="108" w:type="dxa"/>
          </w:tblCellMar>
        </w:tblPrEx>
        <w:trPr>
          <w:trHeight w:val="514"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主管部门</w:t>
            </w: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四川省住房和城乡建设厅部门</w:t>
            </w:r>
          </w:p>
        </w:tc>
        <w:tc>
          <w:tcPr>
            <w:tcW w:w="1089" w:type="dxa"/>
            <w:tcBorders>
              <w:top w:val="nil"/>
              <w:left w:val="nil"/>
              <w:bottom w:val="nil"/>
              <w:right w:val="nil"/>
            </w:tcBorders>
            <w:shd w:val="clear" w:color="auto" w:fill="auto"/>
            <w:noWrap w:val="0"/>
            <w:vAlign w:val="center"/>
          </w:tcPr>
          <w:p>
            <w:pPr>
              <w:widowControl/>
              <w:jc w:val="left"/>
              <w:rPr>
                <w:color w:val="000000"/>
                <w:kern w:val="0"/>
                <w:sz w:val="18"/>
                <w:szCs w:val="18"/>
              </w:rPr>
            </w:pPr>
            <w:r>
              <w:rPr>
                <w:rFonts w:hint="eastAsia" w:ascii="黑体" w:hAnsi="黑体" w:eastAsia="黑体"/>
                <w:color w:val="000000"/>
                <w:kern w:val="0"/>
                <w:sz w:val="18"/>
                <w:szCs w:val="18"/>
              </w:rPr>
              <w:t>实施单位</w:t>
            </w:r>
            <w:r>
              <w:rPr>
                <w:color w:val="000000"/>
                <w:kern w:val="0"/>
                <w:sz w:val="18"/>
                <w:szCs w:val="18"/>
              </w:rPr>
              <w:t xml:space="preserve"> </w:t>
            </w:r>
            <w:r>
              <w:rPr>
                <w:rFonts w:hint="eastAsia" w:ascii="黑体" w:hAnsi="黑体" w:eastAsia="黑体"/>
                <w:color w:val="000000"/>
                <w:kern w:val="0"/>
                <w:sz w:val="18"/>
                <w:szCs w:val="18"/>
              </w:rPr>
              <w:t>（盖章）</w:t>
            </w:r>
          </w:p>
        </w:tc>
        <w:tc>
          <w:tcPr>
            <w:tcW w:w="353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四川省城乡建设研究院</w:t>
            </w:r>
          </w:p>
        </w:tc>
      </w:tr>
      <w:tr>
        <w:tblPrEx>
          <w:tblCellMar>
            <w:top w:w="0" w:type="dxa"/>
            <w:left w:w="108" w:type="dxa"/>
            <w:bottom w:w="0" w:type="dxa"/>
            <w:right w:w="108" w:type="dxa"/>
          </w:tblCellMar>
        </w:tblPrEx>
        <w:trPr>
          <w:trHeight w:val="285"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项目基本情况</w:t>
            </w:r>
          </w:p>
        </w:tc>
        <w:tc>
          <w:tcPr>
            <w:tcW w:w="169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1.</w:t>
            </w:r>
            <w:r>
              <w:rPr>
                <w:rFonts w:hint="eastAsia" w:ascii="宋体" w:hAnsi="宋体"/>
                <w:color w:val="000000"/>
                <w:kern w:val="0"/>
                <w:sz w:val="18"/>
                <w:szCs w:val="18"/>
              </w:rPr>
              <w:t>项目年度目标完成情况</w:t>
            </w: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项目年度目标</w:t>
            </w:r>
          </w:p>
        </w:tc>
        <w:tc>
          <w:tcPr>
            <w:tcW w:w="4625"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黑体" w:hAnsi="黑体" w:eastAsia="黑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向建设单位提供设计、造价、项目管理等全过程咨询服务，满足建设单位一体化服务需求，增强工程建设过程的协同性。全过程咨询单位应当以工程质量和安全为前提，帮助建设单位提高建设效率、节约建设资金。</w:t>
            </w:r>
          </w:p>
        </w:tc>
        <w:tc>
          <w:tcPr>
            <w:tcW w:w="4625"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目标已完成。全年共中标2个EPC全过程咨询项目，为地方建设做出了相应贡献。</w:t>
            </w:r>
          </w:p>
        </w:tc>
      </w:tr>
      <w:tr>
        <w:tblPrEx>
          <w:tblCellMar>
            <w:top w:w="0" w:type="dxa"/>
            <w:left w:w="108" w:type="dxa"/>
            <w:bottom w:w="0" w:type="dxa"/>
            <w:right w:w="108" w:type="dxa"/>
          </w:tblCellMar>
        </w:tblPrEx>
        <w:trPr>
          <w:trHeight w:val="694"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2.</w:t>
            </w:r>
            <w:r>
              <w:rPr>
                <w:rFonts w:hint="eastAsia" w:ascii="宋体" w:hAnsi="宋体"/>
                <w:color w:val="000000"/>
                <w:kern w:val="0"/>
                <w:sz w:val="18"/>
                <w:szCs w:val="18"/>
              </w:rPr>
              <w:t>项目实施内容及过程概述</w:t>
            </w:r>
          </w:p>
        </w:tc>
        <w:tc>
          <w:tcPr>
            <w:tcW w:w="11461" w:type="dxa"/>
            <w:gridSpan w:val="10"/>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2022年8月中标大龙潭彝族乡混撒拉村“攀西零碳示范村”建设项目设计-施工EPC项目；2022年12月中标乐至县老城区生态修复改造工程EPC项目。</w:t>
            </w:r>
          </w:p>
        </w:tc>
      </w:tr>
      <w:tr>
        <w:tblPrEx>
          <w:tblCellMar>
            <w:top w:w="0" w:type="dxa"/>
            <w:left w:w="108" w:type="dxa"/>
            <w:bottom w:w="0" w:type="dxa"/>
            <w:right w:w="108" w:type="dxa"/>
          </w:tblCellMar>
        </w:tblPrEx>
        <w:trPr>
          <w:trHeight w:val="360"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预算执行情况（</w:t>
            </w:r>
            <w:r>
              <w:rPr>
                <w:color w:val="000000"/>
                <w:kern w:val="0"/>
                <w:sz w:val="18"/>
                <w:szCs w:val="18"/>
              </w:rPr>
              <w:t>10</w:t>
            </w:r>
            <w:r>
              <w:rPr>
                <w:rFonts w:hint="eastAsia" w:ascii="宋体" w:hAnsi="宋体"/>
                <w:color w:val="000000"/>
                <w:kern w:val="0"/>
                <w:sz w:val="18"/>
                <w:szCs w:val="18"/>
              </w:rPr>
              <w:t>分）</w:t>
            </w: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年度预算数（万元）</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年初预算</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调整后预算数</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预算执行数</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预算执行率</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权重</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得分</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原因</w:t>
            </w:r>
          </w:p>
        </w:tc>
      </w:tr>
      <w:tr>
        <w:tblPrEx>
          <w:tblCellMar>
            <w:top w:w="0" w:type="dxa"/>
            <w:left w:w="108" w:type="dxa"/>
            <w:bottom w:w="0" w:type="dxa"/>
            <w:right w:w="108" w:type="dxa"/>
          </w:tblCellMar>
        </w:tblPrEx>
        <w:trPr>
          <w:trHeight w:val="525"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总额</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180.00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39.10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32.33</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82.67%</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8.3</w:t>
            </w:r>
          </w:p>
        </w:tc>
        <w:tc>
          <w:tcPr>
            <w:tcW w:w="2491"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预算未达90%原因说明：因本项目为零碳示范性项目，既有老旧建筑改造，又有新技术光伏等的应用。地方政府要求高，设计难度大，施工管理过程中协度难度大，项目推进进度有所滞后，收款有所滞后。年中调整预算原因：项目洽谈未达预期，合同签订时间延后。</w:t>
            </w:r>
          </w:p>
        </w:tc>
      </w:tr>
      <w:tr>
        <w:tblPrEx>
          <w:tblCellMar>
            <w:top w:w="0" w:type="dxa"/>
            <w:left w:w="108" w:type="dxa"/>
            <w:bottom w:w="0" w:type="dxa"/>
            <w:right w:w="108" w:type="dxa"/>
          </w:tblCellMar>
        </w:tblPrEx>
        <w:trPr>
          <w:trHeight w:val="525"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其中：财政资金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525"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财政专户管理资金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525"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单位资金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180.00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39.10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32.33</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82.67%</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525"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其他资金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54"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绩效指标（</w:t>
            </w:r>
            <w:r>
              <w:rPr>
                <w:color w:val="000000"/>
                <w:kern w:val="0"/>
                <w:sz w:val="18"/>
                <w:szCs w:val="18"/>
              </w:rPr>
              <w:t>90</w:t>
            </w:r>
            <w:r>
              <w:rPr>
                <w:rFonts w:hint="eastAsia" w:ascii="宋体" w:hAnsi="宋体"/>
                <w:color w:val="000000"/>
                <w:kern w:val="0"/>
                <w:sz w:val="18"/>
                <w:szCs w:val="18"/>
              </w:rPr>
              <w:t>分）</w:t>
            </w: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一级指标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二级指标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三级指标</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指标性质</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指标值</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度量单位</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完成值</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权重</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得分</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产出指标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数量指标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承接项目个税</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个</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6"/>
                <w:szCs w:val="16"/>
              </w:rPr>
            </w:pPr>
            <w:r>
              <w:rPr>
                <w:color w:val="000000"/>
                <w:kern w:val="0"/>
                <w:sz w:val="16"/>
                <w:szCs w:val="16"/>
              </w:rPr>
              <w:t>2</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20</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成本指标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成本总额</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180</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万元</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6"/>
                <w:szCs w:val="16"/>
              </w:rPr>
            </w:pPr>
            <w:r>
              <w:rPr>
                <w:color w:val="000000"/>
                <w:kern w:val="0"/>
                <w:sz w:val="16"/>
                <w:szCs w:val="16"/>
              </w:rPr>
              <w:t>32.33</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50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50</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效益指标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经济效益指标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促进经济有序发展</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定性</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优良中低差</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套</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良</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rFonts w:hint="eastAsia"/>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8</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可持续影响指标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城市建设可持续影响</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定性</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优良中低差</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套</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良</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rFonts w:hint="eastAsia"/>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8</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285" w:hRule="atLeast"/>
        </w:trPr>
        <w:tc>
          <w:tcPr>
            <w:tcW w:w="10444"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合计</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　</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right"/>
              <w:rPr>
                <w:color w:val="000000"/>
                <w:kern w:val="0"/>
                <w:sz w:val="18"/>
                <w:szCs w:val="18"/>
              </w:rPr>
            </w:pPr>
            <w:r>
              <w:rPr>
                <w:color w:val="000000"/>
                <w:kern w:val="0"/>
                <w:sz w:val="18"/>
                <w:szCs w:val="18"/>
              </w:rPr>
              <w:t>94.3</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　</w:t>
            </w:r>
          </w:p>
        </w:tc>
      </w:tr>
      <w:tr>
        <w:tblPrEx>
          <w:tblCellMar>
            <w:top w:w="0" w:type="dxa"/>
            <w:left w:w="108" w:type="dxa"/>
            <w:bottom w:w="0" w:type="dxa"/>
            <w:right w:w="108" w:type="dxa"/>
          </w:tblCellMar>
        </w:tblPrEx>
        <w:trPr>
          <w:trHeight w:val="604"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评价结论</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6"/>
                <w:szCs w:val="16"/>
              </w:rPr>
            </w:pPr>
            <w:r>
              <w:rPr>
                <w:rFonts w:hint="eastAsia" w:ascii="宋体" w:hAnsi="宋体"/>
                <w:color w:val="000000"/>
                <w:kern w:val="0"/>
                <w:sz w:val="16"/>
                <w:szCs w:val="16"/>
              </w:rPr>
              <w:t>自评分</w:t>
            </w:r>
            <w:r>
              <w:rPr>
                <w:color w:val="000000"/>
                <w:kern w:val="0"/>
                <w:sz w:val="16"/>
                <w:szCs w:val="16"/>
              </w:rPr>
              <w:t>94.3</w:t>
            </w:r>
            <w:r>
              <w:rPr>
                <w:rFonts w:hint="eastAsia" w:ascii="宋体" w:hAnsi="宋体"/>
                <w:color w:val="000000"/>
                <w:kern w:val="0"/>
                <w:sz w:val="16"/>
                <w:szCs w:val="16"/>
              </w:rPr>
              <w:t>分</w:t>
            </w:r>
            <w:r>
              <w:rPr>
                <w:color w:val="000000"/>
                <w:kern w:val="0"/>
                <w:sz w:val="16"/>
                <w:szCs w:val="16"/>
              </w:rPr>
              <w:t>.</w:t>
            </w:r>
            <w:r>
              <w:rPr>
                <w:rFonts w:hint="eastAsia" w:ascii="宋体" w:hAnsi="宋体"/>
                <w:color w:val="000000"/>
                <w:kern w:val="0"/>
                <w:sz w:val="16"/>
                <w:szCs w:val="16"/>
              </w:rPr>
              <w:t>通过一年来的探索，逐步摸索出适宜城市更新的全过程咨询方式。</w:t>
            </w:r>
          </w:p>
        </w:tc>
      </w:tr>
      <w:tr>
        <w:tblPrEx>
          <w:tblCellMar>
            <w:top w:w="0" w:type="dxa"/>
            <w:left w:w="108" w:type="dxa"/>
            <w:bottom w:w="0" w:type="dxa"/>
            <w:right w:w="108" w:type="dxa"/>
          </w:tblCellMar>
        </w:tblPrEx>
        <w:trPr>
          <w:trHeight w:val="574"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存在问题</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6"/>
                <w:szCs w:val="16"/>
              </w:rPr>
            </w:pPr>
            <w:r>
              <w:rPr>
                <w:color w:val="000000"/>
                <w:kern w:val="0"/>
                <w:sz w:val="16"/>
                <w:szCs w:val="16"/>
              </w:rPr>
              <w:t>合同签订数量偏少，合同额较小。</w:t>
            </w:r>
          </w:p>
        </w:tc>
      </w:tr>
      <w:tr>
        <w:tblPrEx>
          <w:tblCellMar>
            <w:top w:w="0" w:type="dxa"/>
            <w:left w:w="108" w:type="dxa"/>
            <w:bottom w:w="0" w:type="dxa"/>
            <w:right w:w="108" w:type="dxa"/>
          </w:tblCellMar>
        </w:tblPrEx>
        <w:trPr>
          <w:trHeight w:val="634"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改进措施</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与地方加强沟通，及时获取相关项目信息；与院内其它所室保持良好互动，共享项目信息。多渠道，多方位的洽谈项目。</w:t>
            </w:r>
          </w:p>
        </w:tc>
      </w:tr>
      <w:tr>
        <w:tblPrEx>
          <w:tblCellMar>
            <w:top w:w="0" w:type="dxa"/>
            <w:left w:w="108" w:type="dxa"/>
            <w:bottom w:w="0" w:type="dxa"/>
            <w:right w:w="108" w:type="dxa"/>
          </w:tblCellMar>
        </w:tblPrEx>
        <w:trPr>
          <w:trHeight w:val="285" w:hRule="atLeast"/>
        </w:trPr>
        <w:tc>
          <w:tcPr>
            <w:tcW w:w="7320"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黑体" w:hAnsi="黑体" w:eastAsia="黑体"/>
                <w:color w:val="000000"/>
                <w:kern w:val="0"/>
                <w:sz w:val="18"/>
                <w:szCs w:val="18"/>
              </w:rPr>
            </w:pPr>
            <w:r>
              <w:rPr>
                <w:rFonts w:hint="eastAsia" w:ascii="黑体" w:hAnsi="黑体" w:eastAsia="黑体"/>
                <w:color w:val="000000"/>
                <w:sz w:val="18"/>
                <w:szCs w:val="18"/>
              </w:rPr>
              <w:t>项目负责人：周宏莉</w:t>
            </w:r>
          </w:p>
        </w:tc>
        <w:tc>
          <w:tcPr>
            <w:tcW w:w="6660" w:type="dxa"/>
            <w:gridSpan w:val="6"/>
            <w:tcBorders>
              <w:top w:val="single" w:color="000000" w:sz="4" w:space="0"/>
              <w:left w:val="nil"/>
              <w:bottom w:val="single" w:color="000000" w:sz="4" w:space="0"/>
              <w:right w:val="single" w:color="000000" w:sz="4" w:space="0"/>
            </w:tcBorders>
            <w:shd w:val="clear" w:color="auto" w:fill="auto"/>
            <w:noWrap w:val="0"/>
            <w:vAlign w:val="center"/>
          </w:tcPr>
          <w:p>
            <w:pPr>
              <w:rPr>
                <w:rFonts w:hint="eastAsia" w:ascii="黑体" w:hAnsi="黑体" w:eastAsia="黑体"/>
                <w:color w:val="000000"/>
                <w:sz w:val="18"/>
                <w:szCs w:val="18"/>
              </w:rPr>
            </w:pPr>
            <w:r>
              <w:rPr>
                <w:rFonts w:hint="eastAsia" w:ascii="黑体" w:hAnsi="黑体" w:eastAsia="黑体"/>
                <w:color w:val="000000"/>
                <w:sz w:val="18"/>
                <w:szCs w:val="18"/>
              </w:rPr>
              <w:t>财务负责人：杨猛</w:t>
            </w:r>
          </w:p>
        </w:tc>
      </w:tr>
      <w:tr>
        <w:tblPrEx>
          <w:tblCellMar>
            <w:top w:w="0" w:type="dxa"/>
            <w:left w:w="108" w:type="dxa"/>
            <w:bottom w:w="0" w:type="dxa"/>
            <w:right w:w="108" w:type="dxa"/>
          </w:tblCellMar>
        </w:tblPrEx>
        <w:trPr>
          <w:trHeight w:val="285" w:hRule="atLeast"/>
        </w:trPr>
        <w:tc>
          <w:tcPr>
            <w:tcW w:w="829" w:type="dxa"/>
            <w:tcBorders>
              <w:top w:val="nil"/>
              <w:left w:val="nil"/>
              <w:bottom w:val="nil"/>
              <w:right w:val="nil"/>
            </w:tcBorders>
            <w:shd w:val="clear" w:color="auto" w:fill="auto"/>
            <w:noWrap w:val="0"/>
            <w:vAlign w:val="center"/>
          </w:tcPr>
          <w:p>
            <w:pPr>
              <w:widowControl/>
              <w:jc w:val="left"/>
              <w:rPr>
                <w:color w:val="000000"/>
                <w:kern w:val="0"/>
                <w:sz w:val="18"/>
                <w:szCs w:val="18"/>
              </w:rPr>
            </w:pPr>
          </w:p>
        </w:tc>
        <w:tc>
          <w:tcPr>
            <w:tcW w:w="1690"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73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220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1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628" w:type="dxa"/>
            <w:gridSpan w:val="2"/>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756"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089"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1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31"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2491"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04" w:hRule="atLeast"/>
        </w:trPr>
        <w:tc>
          <w:tcPr>
            <w:tcW w:w="13980"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b/>
                <w:bCs/>
                <w:color w:val="000000"/>
                <w:kern w:val="0"/>
                <w:sz w:val="30"/>
                <w:szCs w:val="30"/>
              </w:rPr>
            </w:pPr>
            <w:r>
              <w:rPr>
                <w:rFonts w:hint="eastAsia" w:ascii="黑体" w:hAnsi="黑体" w:eastAsia="黑体"/>
                <w:b/>
                <w:bCs/>
                <w:color w:val="000000"/>
                <w:kern w:val="0"/>
                <w:sz w:val="30"/>
                <w:szCs w:val="30"/>
              </w:rPr>
              <w:t>部门预算项目支出绩效自评表（</w:t>
            </w:r>
            <w:r>
              <w:rPr>
                <w:b/>
                <w:bCs/>
                <w:color w:val="000000"/>
                <w:kern w:val="0"/>
                <w:sz w:val="30"/>
                <w:szCs w:val="30"/>
              </w:rPr>
              <w:t>2022</w:t>
            </w:r>
            <w:r>
              <w:rPr>
                <w:rFonts w:hint="eastAsia" w:ascii="黑体" w:hAnsi="黑体" w:eastAsia="黑体"/>
                <w:b/>
                <w:bCs/>
                <w:color w:val="000000"/>
                <w:kern w:val="0"/>
                <w:sz w:val="30"/>
                <w:szCs w:val="30"/>
              </w:rPr>
              <w:t>年度）</w:t>
            </w:r>
          </w:p>
        </w:tc>
      </w:tr>
      <w:tr>
        <w:tblPrEx>
          <w:tblCellMar>
            <w:top w:w="0" w:type="dxa"/>
            <w:left w:w="108" w:type="dxa"/>
            <w:bottom w:w="0" w:type="dxa"/>
            <w:right w:w="108" w:type="dxa"/>
          </w:tblCellMar>
        </w:tblPrEx>
        <w:trPr>
          <w:trHeight w:val="285"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项目名称</w:t>
            </w:r>
          </w:p>
        </w:tc>
        <w:tc>
          <w:tcPr>
            <w:tcW w:w="11461" w:type="dxa"/>
            <w:gridSpan w:val="10"/>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51000022T000000424656-</w:t>
            </w:r>
            <w:r>
              <w:rPr>
                <w:rFonts w:hint="eastAsia" w:ascii="宋体" w:hAnsi="宋体"/>
                <w:color w:val="000000"/>
                <w:kern w:val="0"/>
                <w:sz w:val="18"/>
                <w:szCs w:val="18"/>
              </w:rPr>
              <w:t>城乡历史文化保护传承宣传项目</w:t>
            </w:r>
          </w:p>
        </w:tc>
      </w:tr>
      <w:tr>
        <w:tblPrEx>
          <w:tblCellMar>
            <w:top w:w="0" w:type="dxa"/>
            <w:left w:w="108" w:type="dxa"/>
            <w:bottom w:w="0" w:type="dxa"/>
            <w:right w:w="108" w:type="dxa"/>
          </w:tblCellMar>
        </w:tblPrEx>
        <w:trPr>
          <w:trHeight w:val="514"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主管部门</w:t>
            </w: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四川省住房和城乡建设厅部门</w:t>
            </w:r>
          </w:p>
        </w:tc>
        <w:tc>
          <w:tcPr>
            <w:tcW w:w="1089" w:type="dxa"/>
            <w:tcBorders>
              <w:top w:val="nil"/>
              <w:left w:val="nil"/>
              <w:bottom w:val="nil"/>
              <w:right w:val="nil"/>
            </w:tcBorders>
            <w:shd w:val="clear" w:color="auto" w:fill="auto"/>
            <w:noWrap w:val="0"/>
            <w:vAlign w:val="center"/>
          </w:tcPr>
          <w:p>
            <w:pPr>
              <w:widowControl/>
              <w:jc w:val="left"/>
              <w:rPr>
                <w:color w:val="000000"/>
                <w:kern w:val="0"/>
                <w:sz w:val="18"/>
                <w:szCs w:val="18"/>
              </w:rPr>
            </w:pPr>
            <w:r>
              <w:rPr>
                <w:rFonts w:hint="eastAsia" w:ascii="黑体" w:hAnsi="黑体" w:eastAsia="黑体"/>
                <w:color w:val="000000"/>
                <w:kern w:val="0"/>
                <w:sz w:val="18"/>
                <w:szCs w:val="18"/>
              </w:rPr>
              <w:t>实施单位</w:t>
            </w:r>
            <w:r>
              <w:rPr>
                <w:color w:val="000000"/>
                <w:kern w:val="0"/>
                <w:sz w:val="18"/>
                <w:szCs w:val="18"/>
              </w:rPr>
              <w:t xml:space="preserve"> </w:t>
            </w:r>
            <w:r>
              <w:rPr>
                <w:rFonts w:hint="eastAsia" w:ascii="黑体" w:hAnsi="黑体" w:eastAsia="黑体"/>
                <w:color w:val="000000"/>
                <w:kern w:val="0"/>
                <w:sz w:val="18"/>
                <w:szCs w:val="18"/>
              </w:rPr>
              <w:t>（盖章）</w:t>
            </w:r>
          </w:p>
        </w:tc>
        <w:tc>
          <w:tcPr>
            <w:tcW w:w="353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四川省城乡建设研究院</w:t>
            </w:r>
          </w:p>
        </w:tc>
      </w:tr>
      <w:tr>
        <w:tblPrEx>
          <w:tblCellMar>
            <w:top w:w="0" w:type="dxa"/>
            <w:left w:w="108" w:type="dxa"/>
            <w:bottom w:w="0" w:type="dxa"/>
            <w:right w:w="108" w:type="dxa"/>
          </w:tblCellMar>
        </w:tblPrEx>
        <w:trPr>
          <w:trHeight w:val="285"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项目基本情况</w:t>
            </w:r>
          </w:p>
        </w:tc>
        <w:tc>
          <w:tcPr>
            <w:tcW w:w="169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1.</w:t>
            </w:r>
            <w:r>
              <w:rPr>
                <w:rFonts w:hint="eastAsia" w:ascii="宋体" w:hAnsi="宋体"/>
                <w:color w:val="000000"/>
                <w:kern w:val="0"/>
                <w:sz w:val="18"/>
                <w:szCs w:val="18"/>
              </w:rPr>
              <w:t>项目年度目标完成情况</w:t>
            </w: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项目年度目标</w:t>
            </w:r>
          </w:p>
        </w:tc>
        <w:tc>
          <w:tcPr>
            <w:tcW w:w="4625"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黑体" w:hAnsi="黑体" w:eastAsia="黑体"/>
                <w:color w:val="000000"/>
                <w:kern w:val="0"/>
                <w:sz w:val="18"/>
                <w:szCs w:val="18"/>
              </w:rPr>
              <w:t>年度目标完成情况</w:t>
            </w:r>
          </w:p>
        </w:tc>
      </w:tr>
      <w:tr>
        <w:tblPrEx>
          <w:tblCellMar>
            <w:top w:w="0" w:type="dxa"/>
            <w:left w:w="108" w:type="dxa"/>
            <w:bottom w:w="0" w:type="dxa"/>
            <w:right w:w="108" w:type="dxa"/>
          </w:tblCellMar>
        </w:tblPrEx>
        <w:trPr>
          <w:trHeight w:val="1583"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根据中共中央办公厅、国务院办公厅《关于在城乡建设中加强历史文化保护传承的意见》，提出要系统完整保护传承城乡历史文化遗产、全面真实讲好中国故事。历史建筑作为每个城市独有的历史文化载体，彰显着城市的历史文化底蕴和文化自信，在当今移动互联网技术快速发展的现实环境和碎片化、移动化的社交场景下，短视频成为当下最为流行的社交媒体形式之一，该项目通过短视频的形式为我省众多历史建筑搭建了对外传播的窗口，推动我省历史文化保护传承的工作。</w:t>
            </w:r>
          </w:p>
        </w:tc>
        <w:tc>
          <w:tcPr>
            <w:tcW w:w="4625"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2022年度共完成制作12期发现建筑之美视频，并全部报送至厅信息中心。拍摄对象包括欧洲中心·云端项目、四川大剧院、四川省图书馆、阿坝州松潘长征纪念总碑、卓克基土司官寨、自贡仙市古镇、泸州尧坝古镇等建构筑物，通过短视频的形式在厅官方视频号播出，提升了城乡历史文化遗产保护工作在全省范围内的影响力。</w:t>
            </w:r>
          </w:p>
        </w:tc>
      </w:tr>
      <w:tr>
        <w:tblPrEx>
          <w:tblCellMar>
            <w:top w:w="0" w:type="dxa"/>
            <w:left w:w="108" w:type="dxa"/>
            <w:bottom w:w="0" w:type="dxa"/>
            <w:right w:w="108" w:type="dxa"/>
          </w:tblCellMar>
        </w:tblPrEx>
        <w:trPr>
          <w:trHeight w:val="694"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left"/>
              <w:rPr>
                <w:rFonts w:hint="eastAsia"/>
                <w:color w:val="000000"/>
                <w:kern w:val="0"/>
                <w:sz w:val="18"/>
                <w:szCs w:val="18"/>
              </w:rPr>
            </w:pPr>
            <w:r>
              <w:rPr>
                <w:color w:val="000000"/>
                <w:kern w:val="0"/>
                <w:sz w:val="18"/>
                <w:szCs w:val="18"/>
              </w:rPr>
              <w:t>2.</w:t>
            </w:r>
            <w:r>
              <w:rPr>
                <w:rFonts w:hint="eastAsia" w:ascii="宋体" w:hAnsi="宋体"/>
                <w:color w:val="000000"/>
                <w:kern w:val="0"/>
                <w:sz w:val="18"/>
                <w:szCs w:val="18"/>
              </w:rPr>
              <w:t>项目实施内容及过程概述</w:t>
            </w:r>
          </w:p>
        </w:tc>
        <w:tc>
          <w:tcPr>
            <w:tcW w:w="11461" w:type="dxa"/>
            <w:gridSpan w:val="10"/>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　</w:t>
            </w:r>
            <w:r>
              <w:rPr>
                <w:rFonts w:hint="eastAsia"/>
                <w:color w:val="000000"/>
                <w:kern w:val="0"/>
                <w:sz w:val="18"/>
                <w:szCs w:val="18"/>
              </w:rPr>
              <w:t>该项目以“寻历史古迹，探建筑之美”为核心主题，通过短视频的传播方式，以我省1230处历史建筑为拍摄对象和题材，旨在全方位展示我省古建筑之美，彰显我省的历史文化底蕴。具体工作包括前期准备拍摄设备、制定拍摄方案、选取拍摄对象，中后期进行现场拍摄、视频包装制作、内容运营等。</w:t>
            </w:r>
          </w:p>
        </w:tc>
      </w:tr>
      <w:tr>
        <w:tblPrEx>
          <w:tblCellMar>
            <w:top w:w="0" w:type="dxa"/>
            <w:left w:w="108" w:type="dxa"/>
            <w:bottom w:w="0" w:type="dxa"/>
            <w:right w:w="108" w:type="dxa"/>
          </w:tblCellMar>
        </w:tblPrEx>
        <w:trPr>
          <w:trHeight w:val="360"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预算执行情况（</w:t>
            </w:r>
            <w:r>
              <w:rPr>
                <w:color w:val="000000"/>
                <w:kern w:val="0"/>
                <w:sz w:val="18"/>
                <w:szCs w:val="18"/>
              </w:rPr>
              <w:t>10</w:t>
            </w:r>
            <w:r>
              <w:rPr>
                <w:rFonts w:hint="eastAsia" w:ascii="宋体" w:hAnsi="宋体"/>
                <w:color w:val="000000"/>
                <w:kern w:val="0"/>
                <w:sz w:val="18"/>
                <w:szCs w:val="18"/>
              </w:rPr>
              <w:t>分）</w:t>
            </w: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年度预算数（万元）</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年初预算</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调整后预算数</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预算执行数</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预算执行率</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权重</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得分</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总额</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50.00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25.30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23.28</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92.01%</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9.2</w:t>
            </w:r>
          </w:p>
        </w:tc>
        <w:tc>
          <w:tcPr>
            <w:tcW w:w="2491"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自有资金中期预算调整系受疫情影响，调减差旅费及委托业务费用。</w:t>
            </w:r>
          </w:p>
        </w:tc>
      </w:tr>
      <w:tr>
        <w:tblPrEx>
          <w:tblCellMar>
            <w:top w:w="0" w:type="dxa"/>
            <w:left w:w="108" w:type="dxa"/>
            <w:bottom w:w="0" w:type="dxa"/>
            <w:right w:w="108" w:type="dxa"/>
          </w:tblCellMar>
        </w:tblPrEx>
        <w:trPr>
          <w:trHeight w:val="432"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rFonts w:hint="eastAsia"/>
                <w:color w:val="000000"/>
                <w:kern w:val="0"/>
                <w:sz w:val="18"/>
                <w:szCs w:val="18"/>
              </w:rPr>
            </w:pPr>
            <w:r>
              <w:rPr>
                <w:rFonts w:hint="eastAsia" w:ascii="宋体" w:hAnsi="宋体"/>
                <w:color w:val="000000"/>
                <w:kern w:val="0"/>
                <w:sz w:val="18"/>
                <w:szCs w:val="18"/>
              </w:rPr>
              <w:t>其中：财政资金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20.00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19.01</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95.05%</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47"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财政专户管理资金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单位资金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30.00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5.30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4.27</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80.55%</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79"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其他资金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54"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绩效指标（</w:t>
            </w:r>
            <w:r>
              <w:rPr>
                <w:color w:val="000000"/>
                <w:kern w:val="0"/>
                <w:sz w:val="18"/>
                <w:szCs w:val="18"/>
              </w:rPr>
              <w:t>90</w:t>
            </w:r>
            <w:r>
              <w:rPr>
                <w:rFonts w:hint="eastAsia" w:ascii="宋体" w:hAnsi="宋体"/>
                <w:color w:val="000000"/>
                <w:kern w:val="0"/>
                <w:sz w:val="18"/>
                <w:szCs w:val="18"/>
              </w:rPr>
              <w:t>分）</w:t>
            </w: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一级指标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二级指标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三级指标</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指标性质</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指标值</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度量单位</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完成值</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权重</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得分</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产出指标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数量指标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宣传视频数量</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个</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6"/>
                <w:szCs w:val="16"/>
              </w:rPr>
            </w:pPr>
            <w:r>
              <w:rPr>
                <w:color w:val="000000"/>
                <w:kern w:val="0"/>
                <w:sz w:val="16"/>
                <w:szCs w:val="16"/>
              </w:rPr>
              <w:t>12</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20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 xml:space="preserve">20 </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成本指标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成本总额</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50</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万元</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6"/>
                <w:szCs w:val="16"/>
              </w:rPr>
            </w:pPr>
            <w:r>
              <w:rPr>
                <w:color w:val="000000"/>
                <w:kern w:val="0"/>
                <w:sz w:val="16"/>
                <w:szCs w:val="16"/>
              </w:rPr>
              <w:t>23.28</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50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 xml:space="preserve">50 </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效益指标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社会效益指标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社会宣传效益</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定性</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好坏</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　</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好</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rFonts w:hint="eastAsia"/>
                <w:color w:val="000000"/>
                <w:kern w:val="0"/>
                <w:sz w:val="18"/>
                <w:szCs w:val="18"/>
              </w:rPr>
            </w:pPr>
            <w:r>
              <w:rPr>
                <w:color w:val="000000"/>
                <w:kern w:val="0"/>
                <w:sz w:val="18"/>
                <w:szCs w:val="18"/>
              </w:rPr>
              <w:t>20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 xml:space="preserve">20 </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r>
      <w:tr>
        <w:tblPrEx>
          <w:tblCellMar>
            <w:top w:w="0" w:type="dxa"/>
            <w:left w:w="108" w:type="dxa"/>
            <w:bottom w:w="0" w:type="dxa"/>
            <w:right w:w="108" w:type="dxa"/>
          </w:tblCellMar>
        </w:tblPrEx>
        <w:trPr>
          <w:trHeight w:val="285" w:hRule="atLeast"/>
        </w:trPr>
        <w:tc>
          <w:tcPr>
            <w:tcW w:w="10444"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合计</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　</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right"/>
              <w:rPr>
                <w:color w:val="000000"/>
                <w:kern w:val="0"/>
                <w:sz w:val="18"/>
                <w:szCs w:val="18"/>
              </w:rPr>
            </w:pPr>
            <w:r>
              <w:rPr>
                <w:color w:val="000000"/>
                <w:kern w:val="0"/>
                <w:sz w:val="18"/>
                <w:szCs w:val="18"/>
              </w:rPr>
              <w:t>99.2</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　</w:t>
            </w:r>
          </w:p>
        </w:tc>
      </w:tr>
      <w:tr>
        <w:tblPrEx>
          <w:tblCellMar>
            <w:top w:w="0" w:type="dxa"/>
            <w:left w:w="108" w:type="dxa"/>
            <w:bottom w:w="0" w:type="dxa"/>
            <w:right w:w="108" w:type="dxa"/>
          </w:tblCellMar>
        </w:tblPrEx>
        <w:trPr>
          <w:trHeight w:val="604"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评价结论</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“发现建筑之美”依托短视频的形式，旨在全方位、多角度展示我省建筑之美，2022年度发现建筑之美视频拍摄按计划顺利完成，并在厅官方视频号播出，取得一定社会影响力和关注度。</w:t>
            </w:r>
          </w:p>
        </w:tc>
      </w:tr>
      <w:tr>
        <w:tblPrEx>
          <w:tblCellMar>
            <w:top w:w="0" w:type="dxa"/>
            <w:left w:w="108" w:type="dxa"/>
            <w:bottom w:w="0" w:type="dxa"/>
            <w:right w:w="108" w:type="dxa"/>
          </w:tblCellMar>
        </w:tblPrEx>
        <w:trPr>
          <w:trHeight w:val="574"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color w:val="000000"/>
                <w:kern w:val="0"/>
                <w:sz w:val="18"/>
                <w:szCs w:val="18"/>
              </w:rPr>
            </w:pPr>
            <w:r>
              <w:rPr>
                <w:rFonts w:hint="eastAsia" w:ascii="宋体" w:hAnsi="宋体"/>
                <w:color w:val="000000"/>
                <w:kern w:val="0"/>
                <w:sz w:val="18"/>
                <w:szCs w:val="18"/>
              </w:rPr>
              <w:t>存在问题</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虽然取得了一定效果，但是视频内、表现形式上还有待提升，创新意识不够。</w:t>
            </w:r>
          </w:p>
        </w:tc>
      </w:tr>
      <w:tr>
        <w:tblPrEx>
          <w:tblCellMar>
            <w:top w:w="0" w:type="dxa"/>
            <w:left w:w="108" w:type="dxa"/>
            <w:bottom w:w="0" w:type="dxa"/>
            <w:right w:w="108" w:type="dxa"/>
          </w:tblCellMar>
        </w:tblPrEx>
        <w:trPr>
          <w:trHeight w:val="634"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color w:val="000000"/>
                <w:kern w:val="0"/>
                <w:sz w:val="18"/>
                <w:szCs w:val="18"/>
              </w:rPr>
            </w:pPr>
            <w:r>
              <w:rPr>
                <w:rFonts w:hint="eastAsia" w:ascii="宋体" w:hAnsi="宋体"/>
                <w:color w:val="000000"/>
                <w:kern w:val="0"/>
                <w:sz w:val="18"/>
                <w:szCs w:val="18"/>
              </w:rPr>
              <w:t>改进措施</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加强自身对短视频拍摄的学习，提高学习能力，学习拍摄手法，剪辑思维。</w:t>
            </w:r>
          </w:p>
        </w:tc>
      </w:tr>
      <w:tr>
        <w:tblPrEx>
          <w:tblCellMar>
            <w:top w:w="0" w:type="dxa"/>
            <w:left w:w="108" w:type="dxa"/>
            <w:bottom w:w="0" w:type="dxa"/>
            <w:right w:w="108" w:type="dxa"/>
          </w:tblCellMar>
        </w:tblPrEx>
        <w:trPr>
          <w:trHeight w:val="285" w:hRule="atLeast"/>
        </w:trPr>
        <w:tc>
          <w:tcPr>
            <w:tcW w:w="7320"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黑体" w:hAnsi="黑体" w:eastAsia="黑体"/>
                <w:color w:val="000000"/>
                <w:kern w:val="0"/>
                <w:sz w:val="18"/>
                <w:szCs w:val="18"/>
              </w:rPr>
            </w:pPr>
            <w:r>
              <w:rPr>
                <w:rFonts w:hint="eastAsia" w:ascii="黑体" w:hAnsi="黑体" w:eastAsia="黑体"/>
                <w:color w:val="000000"/>
                <w:sz w:val="18"/>
                <w:szCs w:val="18"/>
              </w:rPr>
              <w:t>项目负责人：唐密</w:t>
            </w:r>
          </w:p>
        </w:tc>
        <w:tc>
          <w:tcPr>
            <w:tcW w:w="6660" w:type="dxa"/>
            <w:gridSpan w:val="6"/>
            <w:tcBorders>
              <w:top w:val="single" w:color="000000" w:sz="4" w:space="0"/>
              <w:left w:val="nil"/>
              <w:bottom w:val="single" w:color="000000" w:sz="4" w:space="0"/>
              <w:right w:val="single" w:color="000000" w:sz="4" w:space="0"/>
            </w:tcBorders>
            <w:shd w:val="clear" w:color="auto" w:fill="auto"/>
            <w:noWrap w:val="0"/>
            <w:vAlign w:val="center"/>
          </w:tcPr>
          <w:p>
            <w:pPr>
              <w:rPr>
                <w:rFonts w:hint="eastAsia" w:ascii="黑体" w:hAnsi="黑体" w:eastAsia="黑体"/>
                <w:color w:val="000000"/>
                <w:sz w:val="18"/>
                <w:szCs w:val="18"/>
              </w:rPr>
            </w:pPr>
            <w:r>
              <w:rPr>
                <w:rFonts w:hint="eastAsia" w:ascii="黑体" w:hAnsi="黑体" w:eastAsia="黑体"/>
                <w:color w:val="000000"/>
                <w:sz w:val="18"/>
                <w:szCs w:val="18"/>
              </w:rPr>
              <w:t>财务负责人：杨猛</w:t>
            </w:r>
          </w:p>
        </w:tc>
      </w:tr>
      <w:tr>
        <w:tblPrEx>
          <w:tblCellMar>
            <w:top w:w="0" w:type="dxa"/>
            <w:left w:w="108" w:type="dxa"/>
            <w:bottom w:w="0" w:type="dxa"/>
            <w:right w:w="108" w:type="dxa"/>
          </w:tblCellMar>
        </w:tblPrEx>
        <w:trPr>
          <w:trHeight w:val="285" w:hRule="atLeast"/>
        </w:trPr>
        <w:tc>
          <w:tcPr>
            <w:tcW w:w="829" w:type="dxa"/>
            <w:tcBorders>
              <w:top w:val="nil"/>
              <w:left w:val="nil"/>
              <w:bottom w:val="nil"/>
              <w:right w:val="nil"/>
            </w:tcBorders>
            <w:shd w:val="clear" w:color="auto" w:fill="auto"/>
            <w:noWrap w:val="0"/>
            <w:vAlign w:val="center"/>
          </w:tcPr>
          <w:p>
            <w:pPr>
              <w:widowControl/>
              <w:jc w:val="left"/>
              <w:rPr>
                <w:color w:val="000000"/>
                <w:kern w:val="0"/>
                <w:sz w:val="18"/>
                <w:szCs w:val="18"/>
              </w:rPr>
            </w:pPr>
          </w:p>
        </w:tc>
        <w:tc>
          <w:tcPr>
            <w:tcW w:w="1690"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73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220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1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628" w:type="dxa"/>
            <w:gridSpan w:val="2"/>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756"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1089"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14"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531"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c>
          <w:tcPr>
            <w:tcW w:w="2491" w:type="dxa"/>
            <w:tcBorders>
              <w:top w:val="nil"/>
              <w:left w:val="nil"/>
              <w:bottom w:val="nil"/>
              <w:right w:val="nil"/>
            </w:tcBorders>
            <w:shd w:val="clear" w:color="auto" w:fill="auto"/>
            <w:noWrap w:val="0"/>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904" w:hRule="atLeast"/>
        </w:trPr>
        <w:tc>
          <w:tcPr>
            <w:tcW w:w="13980"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b/>
                <w:bCs/>
                <w:color w:val="000000"/>
                <w:kern w:val="0"/>
                <w:sz w:val="30"/>
                <w:szCs w:val="30"/>
              </w:rPr>
            </w:pPr>
            <w:r>
              <w:rPr>
                <w:rFonts w:hint="eastAsia" w:ascii="黑体" w:hAnsi="黑体" w:eastAsia="黑体"/>
                <w:b/>
                <w:bCs/>
                <w:color w:val="000000"/>
                <w:kern w:val="0"/>
                <w:sz w:val="30"/>
                <w:szCs w:val="30"/>
              </w:rPr>
              <w:t>部门预算项目支出绩效自评表（</w:t>
            </w:r>
            <w:r>
              <w:rPr>
                <w:b/>
                <w:bCs/>
                <w:color w:val="000000"/>
                <w:kern w:val="0"/>
                <w:sz w:val="30"/>
                <w:szCs w:val="30"/>
              </w:rPr>
              <w:t>2022</w:t>
            </w:r>
            <w:r>
              <w:rPr>
                <w:rFonts w:hint="eastAsia" w:ascii="黑体" w:hAnsi="黑体" w:eastAsia="黑体"/>
                <w:b/>
                <w:bCs/>
                <w:color w:val="000000"/>
                <w:kern w:val="0"/>
                <w:sz w:val="30"/>
                <w:szCs w:val="30"/>
              </w:rPr>
              <w:t>年度）</w:t>
            </w:r>
          </w:p>
        </w:tc>
      </w:tr>
      <w:tr>
        <w:tblPrEx>
          <w:tblCellMar>
            <w:top w:w="0" w:type="dxa"/>
            <w:left w:w="108" w:type="dxa"/>
            <w:bottom w:w="0" w:type="dxa"/>
            <w:right w:w="108" w:type="dxa"/>
          </w:tblCellMar>
        </w:tblPrEx>
        <w:trPr>
          <w:trHeight w:val="285"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项目名称</w:t>
            </w:r>
          </w:p>
        </w:tc>
        <w:tc>
          <w:tcPr>
            <w:tcW w:w="11461" w:type="dxa"/>
            <w:gridSpan w:val="10"/>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51000023T000008769317-</w:t>
            </w:r>
            <w:r>
              <w:rPr>
                <w:rFonts w:hint="eastAsia" w:ascii="宋体" w:hAnsi="宋体"/>
                <w:color w:val="000000"/>
                <w:kern w:val="0"/>
                <w:sz w:val="18"/>
                <w:szCs w:val="18"/>
              </w:rPr>
              <w:t>新型智慧城市几个重大基础设施体系构建与发展对策研究</w:t>
            </w:r>
          </w:p>
        </w:tc>
      </w:tr>
      <w:tr>
        <w:tblPrEx>
          <w:tblCellMar>
            <w:top w:w="0" w:type="dxa"/>
            <w:left w:w="108" w:type="dxa"/>
            <w:bottom w:w="0" w:type="dxa"/>
            <w:right w:w="108" w:type="dxa"/>
          </w:tblCellMar>
        </w:tblPrEx>
        <w:trPr>
          <w:trHeight w:val="514"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主管部门</w:t>
            </w: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四川省住房和城乡建设厅部门</w:t>
            </w:r>
          </w:p>
        </w:tc>
        <w:tc>
          <w:tcPr>
            <w:tcW w:w="1089" w:type="dxa"/>
            <w:tcBorders>
              <w:top w:val="nil"/>
              <w:left w:val="nil"/>
              <w:bottom w:val="nil"/>
              <w:right w:val="nil"/>
            </w:tcBorders>
            <w:shd w:val="clear" w:color="auto" w:fill="auto"/>
            <w:noWrap w:val="0"/>
            <w:vAlign w:val="center"/>
          </w:tcPr>
          <w:p>
            <w:pPr>
              <w:widowControl/>
              <w:jc w:val="left"/>
              <w:rPr>
                <w:color w:val="000000"/>
                <w:kern w:val="0"/>
                <w:sz w:val="18"/>
                <w:szCs w:val="18"/>
              </w:rPr>
            </w:pPr>
            <w:r>
              <w:rPr>
                <w:rFonts w:hint="eastAsia" w:ascii="黑体" w:hAnsi="黑体" w:eastAsia="黑体"/>
                <w:color w:val="000000"/>
                <w:kern w:val="0"/>
                <w:sz w:val="18"/>
                <w:szCs w:val="18"/>
              </w:rPr>
              <w:t>实施单位</w:t>
            </w:r>
            <w:r>
              <w:rPr>
                <w:color w:val="000000"/>
                <w:kern w:val="0"/>
                <w:sz w:val="18"/>
                <w:szCs w:val="18"/>
              </w:rPr>
              <w:t xml:space="preserve"> </w:t>
            </w:r>
            <w:r>
              <w:rPr>
                <w:rFonts w:hint="eastAsia" w:ascii="黑体" w:hAnsi="黑体" w:eastAsia="黑体"/>
                <w:color w:val="000000"/>
                <w:kern w:val="0"/>
                <w:sz w:val="18"/>
                <w:szCs w:val="18"/>
              </w:rPr>
              <w:t>（盖章）</w:t>
            </w:r>
          </w:p>
        </w:tc>
        <w:tc>
          <w:tcPr>
            <w:tcW w:w="353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四川省城乡建设研究院</w:t>
            </w:r>
          </w:p>
        </w:tc>
      </w:tr>
      <w:tr>
        <w:tblPrEx>
          <w:tblCellMar>
            <w:top w:w="0" w:type="dxa"/>
            <w:left w:w="108" w:type="dxa"/>
            <w:bottom w:w="0" w:type="dxa"/>
            <w:right w:w="108" w:type="dxa"/>
          </w:tblCellMar>
        </w:tblPrEx>
        <w:trPr>
          <w:trHeight w:val="285"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项目基本情况</w:t>
            </w:r>
          </w:p>
        </w:tc>
        <w:tc>
          <w:tcPr>
            <w:tcW w:w="169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1.</w:t>
            </w:r>
            <w:r>
              <w:rPr>
                <w:rFonts w:hint="eastAsia" w:ascii="宋体" w:hAnsi="宋体"/>
                <w:color w:val="000000"/>
                <w:kern w:val="0"/>
                <w:sz w:val="18"/>
                <w:szCs w:val="18"/>
              </w:rPr>
              <w:t>项目年度目标完成情况</w:t>
            </w: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项目年度目标</w:t>
            </w:r>
          </w:p>
        </w:tc>
        <w:tc>
          <w:tcPr>
            <w:tcW w:w="4625"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黑体" w:hAnsi="黑体" w:eastAsia="黑体"/>
                <w:color w:val="000000"/>
                <w:kern w:val="0"/>
                <w:sz w:val="18"/>
                <w:szCs w:val="18"/>
              </w:rPr>
              <w:t>年度目标完成情况</w:t>
            </w:r>
          </w:p>
        </w:tc>
      </w:tr>
      <w:tr>
        <w:tblPrEx>
          <w:tblCellMar>
            <w:top w:w="0" w:type="dxa"/>
            <w:left w:w="108" w:type="dxa"/>
            <w:bottom w:w="0" w:type="dxa"/>
            <w:right w:w="108" w:type="dxa"/>
          </w:tblCellMar>
        </w:tblPrEx>
        <w:trPr>
          <w:trHeight w:val="2220"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6836" w:type="dxa"/>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传统城市基础设施建设</w:t>
            </w:r>
            <w:r>
              <w:rPr>
                <w:color w:val="000000"/>
                <w:kern w:val="0"/>
                <w:sz w:val="18"/>
                <w:szCs w:val="18"/>
              </w:rPr>
              <w:t>“</w:t>
            </w:r>
            <w:r>
              <w:rPr>
                <w:rFonts w:hint="eastAsia" w:ascii="宋体" w:hAnsi="宋体"/>
                <w:color w:val="000000"/>
                <w:kern w:val="0"/>
                <w:sz w:val="18"/>
                <w:szCs w:val="18"/>
              </w:rPr>
              <w:t>赋能短板</w:t>
            </w:r>
            <w:r>
              <w:rPr>
                <w:color w:val="000000"/>
                <w:kern w:val="0"/>
                <w:sz w:val="18"/>
                <w:szCs w:val="18"/>
              </w:rPr>
              <w:t>”</w:t>
            </w:r>
            <w:r>
              <w:rPr>
                <w:rFonts w:hint="eastAsia" w:ascii="宋体" w:hAnsi="宋体"/>
                <w:color w:val="000000"/>
                <w:kern w:val="0"/>
                <w:sz w:val="18"/>
                <w:szCs w:val="18"/>
              </w:rPr>
              <w:t>制约了基础设施智能化进程，项目以新一代信息网络设施为基础、各类新型城市基础设施为主体、城市信息模型为集成方式，构建四大新型智慧城市重要基础设施体系：智慧交通设施安全体系、智慧环境设施保障体系、智慧历史文化资源保护体系以及智慧服务运行管理体系，论证各类城市基础设施与新基建融合建设的可行性。将各体系集成到新型智慧城市信息模型中，通过试验验证，提出关键技术及解决方案。最后，在信息、新技术、算力和网络安全保障等基础设施方向提出重大项目规划建设，为新城建对接新基建找到融合建设发展的路径，推动基于数字化、网络化、智能化的新型城市基础设施建设，提升城市治理水平和运行效率。</w:t>
            </w:r>
          </w:p>
        </w:tc>
        <w:tc>
          <w:tcPr>
            <w:tcW w:w="4625"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因该项目立项于2022年底批准，财政资金于12月底拨付，无法使用，结转至2023年度。</w:t>
            </w:r>
          </w:p>
        </w:tc>
      </w:tr>
      <w:tr>
        <w:tblPrEx>
          <w:tblCellMar>
            <w:top w:w="0" w:type="dxa"/>
            <w:left w:w="108" w:type="dxa"/>
            <w:bottom w:w="0" w:type="dxa"/>
            <w:right w:w="108" w:type="dxa"/>
          </w:tblCellMar>
        </w:tblPrEx>
        <w:trPr>
          <w:trHeight w:val="694"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left"/>
              <w:rPr>
                <w:rFonts w:hint="eastAsia"/>
                <w:color w:val="000000"/>
                <w:kern w:val="0"/>
                <w:sz w:val="18"/>
                <w:szCs w:val="18"/>
              </w:rPr>
            </w:pPr>
            <w:r>
              <w:rPr>
                <w:color w:val="000000"/>
                <w:kern w:val="0"/>
                <w:sz w:val="18"/>
                <w:szCs w:val="18"/>
              </w:rPr>
              <w:t>2.</w:t>
            </w:r>
            <w:r>
              <w:rPr>
                <w:rFonts w:hint="eastAsia" w:ascii="宋体" w:hAnsi="宋体"/>
                <w:color w:val="000000"/>
                <w:kern w:val="0"/>
                <w:sz w:val="18"/>
                <w:szCs w:val="18"/>
              </w:rPr>
              <w:t>项目实施内容及过程概述</w:t>
            </w:r>
          </w:p>
        </w:tc>
        <w:tc>
          <w:tcPr>
            <w:tcW w:w="11461" w:type="dxa"/>
            <w:gridSpan w:val="10"/>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　</w:t>
            </w:r>
            <w:r>
              <w:rPr>
                <w:rFonts w:hint="eastAsia"/>
                <w:color w:val="000000"/>
                <w:kern w:val="0"/>
                <w:sz w:val="18"/>
                <w:szCs w:val="18"/>
              </w:rPr>
              <w:t>建立四个体系：智慧交通设施安全体系、智慧环境设施保障体系、智慧历史文化资源保护体系、智慧城市服务运行管理体系。</w:t>
            </w:r>
          </w:p>
        </w:tc>
      </w:tr>
      <w:tr>
        <w:tblPrEx>
          <w:tblCellMar>
            <w:top w:w="0" w:type="dxa"/>
            <w:left w:w="108" w:type="dxa"/>
            <w:bottom w:w="0" w:type="dxa"/>
            <w:right w:w="108" w:type="dxa"/>
          </w:tblCellMar>
        </w:tblPrEx>
        <w:trPr>
          <w:trHeight w:val="360"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预算执行情况（</w:t>
            </w:r>
            <w:r>
              <w:rPr>
                <w:color w:val="000000"/>
                <w:kern w:val="0"/>
                <w:sz w:val="18"/>
                <w:szCs w:val="18"/>
              </w:rPr>
              <w:t>10</w:t>
            </w:r>
            <w:r>
              <w:rPr>
                <w:rFonts w:hint="eastAsia" w:ascii="宋体" w:hAnsi="宋体"/>
                <w:color w:val="000000"/>
                <w:kern w:val="0"/>
                <w:sz w:val="18"/>
                <w:szCs w:val="18"/>
              </w:rPr>
              <w:t>分）</w:t>
            </w: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年度预算数（万元）</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年初预算</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调整后预算数</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预算执行数</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预算执行率</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权重</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得分</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总额</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50.00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10</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w:t>
            </w:r>
          </w:p>
        </w:tc>
        <w:tc>
          <w:tcPr>
            <w:tcW w:w="2491"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rFonts w:hint="eastAsia" w:ascii="宋体" w:hAnsi="宋体"/>
                <w:color w:val="000000"/>
                <w:kern w:val="0"/>
                <w:sz w:val="18"/>
                <w:szCs w:val="18"/>
              </w:rPr>
              <w:t>该项目系科技厅二分项目，于</w:t>
            </w:r>
            <w:r>
              <w:rPr>
                <w:color w:val="000000"/>
                <w:kern w:val="0"/>
                <w:sz w:val="18"/>
                <w:szCs w:val="18"/>
              </w:rPr>
              <w:t>2022</w:t>
            </w:r>
            <w:r>
              <w:rPr>
                <w:rFonts w:hint="eastAsia" w:ascii="宋体" w:hAnsi="宋体"/>
                <w:color w:val="000000"/>
                <w:kern w:val="0"/>
                <w:sz w:val="18"/>
                <w:szCs w:val="18"/>
              </w:rPr>
              <w:t>年底批准立项，资金于</w:t>
            </w:r>
            <w:r>
              <w:rPr>
                <w:color w:val="000000"/>
                <w:kern w:val="0"/>
                <w:sz w:val="18"/>
                <w:szCs w:val="18"/>
              </w:rPr>
              <w:t>2022</w:t>
            </w:r>
            <w:r>
              <w:rPr>
                <w:rFonts w:hint="eastAsia" w:ascii="宋体" w:hAnsi="宋体"/>
                <w:color w:val="000000"/>
                <w:kern w:val="0"/>
                <w:sz w:val="18"/>
                <w:szCs w:val="18"/>
              </w:rPr>
              <w:t>年</w:t>
            </w:r>
            <w:r>
              <w:rPr>
                <w:color w:val="000000"/>
                <w:kern w:val="0"/>
                <w:sz w:val="18"/>
                <w:szCs w:val="18"/>
              </w:rPr>
              <w:t>12</w:t>
            </w:r>
            <w:r>
              <w:rPr>
                <w:rFonts w:hint="eastAsia" w:ascii="宋体" w:hAnsi="宋体"/>
                <w:color w:val="000000"/>
                <w:kern w:val="0"/>
                <w:sz w:val="18"/>
                <w:szCs w:val="18"/>
              </w:rPr>
              <w:t>月底拨付，无法使用。</w:t>
            </w:r>
          </w:p>
        </w:tc>
      </w:tr>
      <w:tr>
        <w:tblPrEx>
          <w:tblCellMar>
            <w:top w:w="0" w:type="dxa"/>
            <w:left w:w="108" w:type="dxa"/>
            <w:bottom w:w="0" w:type="dxa"/>
            <w:right w:w="108" w:type="dxa"/>
          </w:tblCellMar>
        </w:tblPrEx>
        <w:trPr>
          <w:trHeight w:val="432"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其中：财政资金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50.00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47"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财政专户管理资金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02"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单位资金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0.00%</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379"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其他资金</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2898"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w:t>
            </w:r>
          </w:p>
        </w:tc>
        <w:tc>
          <w:tcPr>
            <w:tcW w:w="24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54" w:hRule="atLeast"/>
        </w:trPr>
        <w:tc>
          <w:tcPr>
            <w:tcW w:w="82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绩效指标（</w:t>
            </w:r>
            <w:r>
              <w:rPr>
                <w:color w:val="000000"/>
                <w:kern w:val="0"/>
                <w:sz w:val="18"/>
                <w:szCs w:val="18"/>
              </w:rPr>
              <w:t>90</w:t>
            </w:r>
            <w:r>
              <w:rPr>
                <w:rFonts w:hint="eastAsia" w:ascii="宋体" w:hAnsi="宋体"/>
                <w:color w:val="000000"/>
                <w:kern w:val="0"/>
                <w:sz w:val="18"/>
                <w:szCs w:val="18"/>
              </w:rPr>
              <w:t>分）</w:t>
            </w: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一级指标</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二级指标</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三级指标</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指标性质</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指标值</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度量单位</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完成值</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权重</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得分</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82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p>
        </w:tc>
        <w:tc>
          <w:tcPr>
            <w:tcW w:w="1690"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　</w:t>
            </w:r>
          </w:p>
        </w:tc>
        <w:tc>
          <w:tcPr>
            <w:tcW w:w="173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　</w:t>
            </w:r>
          </w:p>
        </w:tc>
        <w:tc>
          <w:tcPr>
            <w:tcW w:w="220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　</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　</w:t>
            </w:r>
          </w:p>
        </w:tc>
        <w:tc>
          <w:tcPr>
            <w:tcW w:w="1628"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　</w:t>
            </w:r>
          </w:p>
        </w:tc>
        <w:tc>
          <w:tcPr>
            <w:tcW w:w="756"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　</w:t>
            </w:r>
          </w:p>
        </w:tc>
        <w:tc>
          <w:tcPr>
            <w:tcW w:w="1089"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i/>
                <w:iCs/>
                <w:color w:val="000000"/>
                <w:kern w:val="0"/>
                <w:sz w:val="16"/>
                <w:szCs w:val="16"/>
              </w:rPr>
              <w:t>　</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color w:val="000000"/>
                <w:kern w:val="0"/>
                <w:sz w:val="18"/>
                <w:szCs w:val="18"/>
              </w:rPr>
              <w:t>　</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　</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center"/>
              <w:rPr>
                <w:i/>
                <w:iCs/>
                <w:color w:val="000000"/>
                <w:kern w:val="0"/>
                <w:sz w:val="16"/>
                <w:szCs w:val="16"/>
              </w:rPr>
            </w:pPr>
            <w:r>
              <w:rPr>
                <w:rFonts w:hint="eastAsia" w:ascii="黑体" w:hAnsi="黑体" w:eastAsia="黑体" w:cs="宋体"/>
                <w:color w:val="000000"/>
                <w:kern w:val="0"/>
                <w:sz w:val="18"/>
                <w:szCs w:val="18"/>
              </w:rPr>
              <w:t>因该项目立项于2022年底批准，财政资金于12月底拨付，无法使用，结转至2023年度。</w:t>
            </w:r>
            <w:r>
              <w:rPr>
                <w:i/>
                <w:iCs/>
                <w:color w:val="000000"/>
                <w:kern w:val="0"/>
                <w:sz w:val="16"/>
                <w:szCs w:val="16"/>
              </w:rPr>
              <w:t>　</w:t>
            </w:r>
          </w:p>
        </w:tc>
      </w:tr>
      <w:tr>
        <w:tblPrEx>
          <w:tblCellMar>
            <w:top w:w="0" w:type="dxa"/>
            <w:left w:w="108" w:type="dxa"/>
            <w:bottom w:w="0" w:type="dxa"/>
            <w:right w:w="108" w:type="dxa"/>
          </w:tblCellMar>
        </w:tblPrEx>
        <w:trPr>
          <w:trHeight w:val="285" w:hRule="atLeast"/>
        </w:trPr>
        <w:tc>
          <w:tcPr>
            <w:tcW w:w="10444"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合计</w:t>
            </w:r>
          </w:p>
        </w:tc>
        <w:tc>
          <w:tcPr>
            <w:tcW w:w="514" w:type="dxa"/>
            <w:tcBorders>
              <w:top w:val="nil"/>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　</w:t>
            </w:r>
          </w:p>
        </w:tc>
        <w:tc>
          <w:tcPr>
            <w:tcW w:w="531" w:type="dxa"/>
            <w:tcBorders>
              <w:top w:val="nil"/>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　</w:t>
            </w:r>
            <w:r>
              <w:rPr>
                <w:rFonts w:hint="eastAsia"/>
                <w:color w:val="000000"/>
                <w:kern w:val="0"/>
                <w:sz w:val="18"/>
                <w:szCs w:val="18"/>
              </w:rPr>
              <w:t>0</w:t>
            </w:r>
          </w:p>
        </w:tc>
        <w:tc>
          <w:tcPr>
            <w:tcW w:w="2491" w:type="dxa"/>
            <w:tcBorders>
              <w:top w:val="nil"/>
              <w:left w:val="nil"/>
              <w:bottom w:val="single" w:color="000000" w:sz="4" w:space="0"/>
              <w:right w:val="single" w:color="000000" w:sz="4" w:space="0"/>
            </w:tcBorders>
            <w:shd w:val="clear" w:color="auto" w:fill="auto"/>
            <w:noWrap w:val="0"/>
            <w:vAlign w:val="center"/>
          </w:tcPr>
          <w:p>
            <w:pPr>
              <w:widowControl/>
              <w:jc w:val="left"/>
              <w:rPr>
                <w:color w:val="000000"/>
                <w:kern w:val="0"/>
                <w:sz w:val="18"/>
                <w:szCs w:val="18"/>
              </w:rPr>
            </w:pPr>
            <w:r>
              <w:rPr>
                <w:color w:val="000000"/>
                <w:kern w:val="0"/>
                <w:sz w:val="18"/>
                <w:szCs w:val="18"/>
              </w:rPr>
              <w:t>　</w:t>
            </w:r>
          </w:p>
        </w:tc>
      </w:tr>
      <w:tr>
        <w:tblPrEx>
          <w:tblCellMar>
            <w:top w:w="0" w:type="dxa"/>
            <w:left w:w="108" w:type="dxa"/>
            <w:bottom w:w="0" w:type="dxa"/>
            <w:right w:w="108" w:type="dxa"/>
          </w:tblCellMar>
        </w:tblPrEx>
        <w:trPr>
          <w:trHeight w:val="604"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评价结论</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color w:val="000000"/>
                <w:kern w:val="0"/>
                <w:sz w:val="16"/>
                <w:szCs w:val="16"/>
              </w:rPr>
            </w:pPr>
            <w:r>
              <w:rPr>
                <w:rFonts w:hint="eastAsia" w:ascii="微软雅黑" w:hAnsi="微软雅黑" w:eastAsia="微软雅黑"/>
                <w:color w:val="000000"/>
                <w:kern w:val="0"/>
                <w:sz w:val="16"/>
                <w:szCs w:val="16"/>
              </w:rPr>
              <w:t>该项目系科技厅二分项目，于</w:t>
            </w:r>
            <w:r>
              <w:rPr>
                <w:color w:val="000000"/>
                <w:kern w:val="0"/>
                <w:sz w:val="16"/>
                <w:szCs w:val="16"/>
              </w:rPr>
              <w:t>2022</w:t>
            </w:r>
            <w:r>
              <w:rPr>
                <w:rFonts w:hint="eastAsia" w:ascii="微软雅黑" w:hAnsi="微软雅黑" w:eastAsia="微软雅黑"/>
                <w:color w:val="000000"/>
                <w:kern w:val="0"/>
                <w:sz w:val="16"/>
                <w:szCs w:val="16"/>
              </w:rPr>
              <w:t>年底批准立项，资金于</w:t>
            </w:r>
            <w:r>
              <w:rPr>
                <w:color w:val="000000"/>
                <w:kern w:val="0"/>
                <w:sz w:val="16"/>
                <w:szCs w:val="16"/>
              </w:rPr>
              <w:t>2022</w:t>
            </w:r>
            <w:r>
              <w:rPr>
                <w:rFonts w:hint="eastAsia" w:ascii="微软雅黑" w:hAnsi="微软雅黑" w:eastAsia="微软雅黑"/>
                <w:color w:val="000000"/>
                <w:kern w:val="0"/>
                <w:sz w:val="16"/>
                <w:szCs w:val="16"/>
              </w:rPr>
              <w:t>年</w:t>
            </w:r>
            <w:r>
              <w:rPr>
                <w:color w:val="000000"/>
                <w:kern w:val="0"/>
                <w:sz w:val="16"/>
                <w:szCs w:val="16"/>
              </w:rPr>
              <w:t>12</w:t>
            </w:r>
            <w:r>
              <w:rPr>
                <w:rFonts w:hint="eastAsia" w:ascii="微软雅黑" w:hAnsi="微软雅黑" w:eastAsia="微软雅黑"/>
                <w:color w:val="000000"/>
                <w:kern w:val="0"/>
                <w:sz w:val="16"/>
                <w:szCs w:val="16"/>
              </w:rPr>
              <w:t>月底拨付，无法使用。</w:t>
            </w:r>
          </w:p>
        </w:tc>
      </w:tr>
      <w:tr>
        <w:tblPrEx>
          <w:tblCellMar>
            <w:top w:w="0" w:type="dxa"/>
            <w:left w:w="108" w:type="dxa"/>
            <w:bottom w:w="0" w:type="dxa"/>
            <w:right w:w="108" w:type="dxa"/>
          </w:tblCellMar>
        </w:tblPrEx>
        <w:trPr>
          <w:trHeight w:val="574"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18"/>
                <w:szCs w:val="18"/>
              </w:rPr>
            </w:pPr>
            <w:r>
              <w:rPr>
                <w:rFonts w:hint="eastAsia" w:ascii="宋体" w:hAnsi="宋体"/>
                <w:color w:val="000000"/>
                <w:kern w:val="0"/>
                <w:sz w:val="18"/>
                <w:szCs w:val="18"/>
              </w:rPr>
              <w:t>存在问题</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该项目系科技厅二分项目，于2022年底批准立项，资金于2022年12月底拨付，无法使用。</w:t>
            </w:r>
          </w:p>
        </w:tc>
      </w:tr>
      <w:tr>
        <w:tblPrEx>
          <w:tblCellMar>
            <w:top w:w="0" w:type="dxa"/>
            <w:left w:w="108" w:type="dxa"/>
            <w:bottom w:w="0" w:type="dxa"/>
            <w:right w:w="108" w:type="dxa"/>
          </w:tblCellMar>
        </w:tblPrEx>
        <w:trPr>
          <w:trHeight w:val="634" w:hRule="atLeast"/>
        </w:trPr>
        <w:tc>
          <w:tcPr>
            <w:tcW w:w="82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color w:val="000000"/>
                <w:kern w:val="0"/>
                <w:sz w:val="18"/>
                <w:szCs w:val="18"/>
              </w:rPr>
            </w:pPr>
            <w:r>
              <w:rPr>
                <w:rFonts w:hint="eastAsia" w:ascii="宋体" w:hAnsi="宋体"/>
                <w:color w:val="000000"/>
                <w:kern w:val="0"/>
                <w:sz w:val="18"/>
                <w:szCs w:val="18"/>
              </w:rPr>
              <w:t>改进措施</w:t>
            </w:r>
          </w:p>
        </w:tc>
        <w:tc>
          <w:tcPr>
            <w:tcW w:w="13151" w:type="dxa"/>
            <w:gridSpan w:val="11"/>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该项目系科技厅二分项目，于2022年底批准立项，资金于2022年12月底拨付，已申请结转至2023年度执行。</w:t>
            </w:r>
          </w:p>
        </w:tc>
      </w:tr>
      <w:tr>
        <w:tblPrEx>
          <w:tblCellMar>
            <w:top w:w="0" w:type="dxa"/>
            <w:left w:w="108" w:type="dxa"/>
            <w:bottom w:w="0" w:type="dxa"/>
            <w:right w:w="108" w:type="dxa"/>
          </w:tblCellMar>
        </w:tblPrEx>
        <w:trPr>
          <w:trHeight w:val="634" w:hRule="atLeast"/>
        </w:trPr>
        <w:tc>
          <w:tcPr>
            <w:tcW w:w="6990" w:type="dxa"/>
            <w:gridSpan w:val="5"/>
            <w:tcBorders>
              <w:top w:val="nil"/>
              <w:left w:val="single" w:color="000000" w:sz="4" w:space="0"/>
              <w:bottom w:val="single" w:color="000000" w:sz="4" w:space="0"/>
              <w:right w:val="single" w:color="000000" w:sz="4" w:space="0"/>
            </w:tcBorders>
            <w:shd w:val="clear" w:color="auto" w:fill="auto"/>
            <w:noWrap w:val="0"/>
            <w:vAlign w:val="center"/>
          </w:tcPr>
          <w:p>
            <w:pPr>
              <w:widowControl/>
              <w:rPr>
                <w:rFonts w:hint="eastAsia" w:ascii="宋体" w:hAnsi="宋体"/>
                <w:color w:val="000000"/>
                <w:kern w:val="0"/>
                <w:sz w:val="18"/>
                <w:szCs w:val="18"/>
              </w:rPr>
            </w:pPr>
            <w:r>
              <w:rPr>
                <w:rFonts w:hint="eastAsia" w:ascii="宋体" w:hAnsi="宋体"/>
                <w:color w:val="000000"/>
                <w:kern w:val="0"/>
                <w:sz w:val="18"/>
                <w:szCs w:val="18"/>
              </w:rPr>
              <w:t>项目负责人：杨婧</w:t>
            </w:r>
          </w:p>
        </w:tc>
        <w:tc>
          <w:tcPr>
            <w:tcW w:w="6990" w:type="dxa"/>
            <w:gridSpan w:val="7"/>
            <w:tcBorders>
              <w:top w:val="nil"/>
              <w:left w:val="single" w:color="000000" w:sz="4" w:space="0"/>
              <w:bottom w:val="single" w:color="000000" w:sz="4" w:space="0"/>
              <w:right w:val="single" w:color="000000" w:sz="4" w:space="0"/>
            </w:tcBorders>
            <w:shd w:val="clear" w:color="auto" w:fill="auto"/>
            <w:noWrap w:val="0"/>
            <w:vAlign w:val="center"/>
          </w:tcPr>
          <w:p>
            <w:pPr>
              <w:widowControl/>
              <w:rPr>
                <w:rFonts w:hint="eastAsia" w:ascii="宋体" w:hAnsi="宋体"/>
                <w:color w:val="000000"/>
                <w:kern w:val="0"/>
                <w:sz w:val="18"/>
                <w:szCs w:val="18"/>
              </w:rPr>
            </w:pPr>
            <w:r>
              <w:rPr>
                <w:rFonts w:hint="eastAsia" w:ascii="微软雅黑" w:hAnsi="微软雅黑" w:eastAsia="微软雅黑" w:cs="宋体"/>
                <w:color w:val="000000"/>
                <w:kern w:val="0"/>
                <w:sz w:val="16"/>
                <w:szCs w:val="16"/>
              </w:rPr>
              <w:t>财务负责人：杨猛</w:t>
            </w:r>
          </w:p>
        </w:tc>
      </w:tr>
    </w:tbl>
    <w:p>
      <w:pPr>
        <w:pStyle w:val="2"/>
        <w:spacing w:before="93"/>
      </w:pPr>
    </w:p>
    <w:p>
      <w:pPr>
        <w:pStyle w:val="2"/>
        <w:spacing w:before="93"/>
      </w:pPr>
    </w:p>
    <w:p>
      <w:pPr>
        <w:pStyle w:val="2"/>
        <w:spacing w:before="93"/>
      </w:pPr>
    </w:p>
    <w:p>
      <w:pPr>
        <w:pStyle w:val="2"/>
        <w:spacing w:before="93"/>
      </w:pPr>
    </w:p>
    <w:p>
      <w:pPr>
        <w:spacing w:line="600" w:lineRule="exact"/>
        <w:jc w:val="center"/>
        <w:outlineLvl w:val="0"/>
        <w:rPr>
          <w:rFonts w:eastAsia="黑体"/>
          <w:sz w:val="44"/>
          <w:szCs w:val="44"/>
        </w:rPr>
        <w:sectPr>
          <w:footerReference r:id="rId3" w:type="first"/>
          <w:pgSz w:w="16838" w:h="11906" w:orient="landscape"/>
          <w:pgMar w:top="1474" w:right="1985" w:bottom="1588" w:left="2098" w:header="851" w:footer="992" w:gutter="0"/>
          <w:cols w:space="425" w:num="1"/>
          <w:titlePg/>
          <w:docGrid w:type="linesAndChars" w:linePitch="312" w:charSpace="0"/>
        </w:sectPr>
      </w:pPr>
    </w:p>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3MGExN2Y1ZDU2OTc2NDQxNGEyZWQyZjAxYjI3NGEifQ=="/>
  </w:docVars>
  <w:rsids>
    <w:rsidRoot w:val="7FC7274F"/>
    <w:rsid w:val="7FC72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30"/>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character" w:customStyle="1" w:styleId="7">
    <w:name w:val="标题 1 字符"/>
    <w:link w:val="3"/>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2023-09-05T09:54:00Z</dcterms:created>
  <dc:creator>⌒寻⌒</dc:creator>
  <cp:lastModifiedBy>⌒寻⌒</cp:lastModifiedBy>
  <dcterms:modified xsi:type="dcterms:W3CDTF">2023-09-05T09:54:28Z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6BD9091CEDAA4A1AA6083EC29354A402_11</vt:lpwstr>
  </property>
</Properties>
</file>